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3AA8E" w14:textId="77777777" w:rsidR="003A5755" w:rsidRPr="006D0722" w:rsidRDefault="003A5755" w:rsidP="006D0722">
      <w:pPr>
        <w:jc w:val="both"/>
        <w:rPr>
          <w:b/>
          <w:bCs/>
          <w:sz w:val="28"/>
          <w:szCs w:val="28"/>
        </w:rPr>
      </w:pPr>
    </w:p>
    <w:p w14:paraId="0C461AA5" w14:textId="38F33FD5" w:rsidR="003A5755" w:rsidRPr="006D0722" w:rsidRDefault="006D0722" w:rsidP="006D0722">
      <w:pPr>
        <w:jc w:val="both"/>
        <w:rPr>
          <w:b/>
          <w:bCs/>
          <w:sz w:val="28"/>
          <w:szCs w:val="28"/>
        </w:rPr>
      </w:pPr>
      <w:r w:rsidRPr="006D0722">
        <w:rPr>
          <w:b/>
          <w:bCs/>
          <w:sz w:val="28"/>
          <w:szCs w:val="28"/>
        </w:rPr>
        <w:t>THE UTILIZATION OF ARTIFICIAL INTELLIGENCE IN IMPROVING THE ACCURACY OF PERSONAL NUTRITION RECOMMENDATIONS FOR THE PREVENTION OF NON-COMMUNICABLE DISEASES: A SYSTEMATIC REVIEW</w:t>
      </w:r>
    </w:p>
    <w:p w14:paraId="262CB823" w14:textId="77777777" w:rsidR="003A5755" w:rsidRPr="003A5755" w:rsidRDefault="003A5755" w:rsidP="003A5755">
      <w:pPr>
        <w:jc w:val="center"/>
        <w:rPr>
          <w:b/>
          <w:bCs/>
          <w:sz w:val="28"/>
          <w:szCs w:val="28"/>
        </w:rPr>
      </w:pPr>
    </w:p>
    <w:p w14:paraId="1825AD01" w14:textId="4F566899" w:rsidR="006578BD" w:rsidRPr="000171D3" w:rsidRDefault="000171D3" w:rsidP="000171D3">
      <w:pPr>
        <w:jc w:val="center"/>
        <w:rPr>
          <w:b/>
          <w:bCs/>
        </w:rPr>
      </w:pPr>
      <w:r w:rsidRPr="000171D3">
        <w:rPr>
          <w:b/>
          <w:bCs/>
          <w:sz w:val="24"/>
          <w:szCs w:val="24"/>
        </w:rPr>
        <w:t xml:space="preserve">Anggun </w:t>
      </w:r>
      <w:proofErr w:type="spellStart"/>
      <w:r w:rsidRPr="000171D3">
        <w:rPr>
          <w:b/>
          <w:bCs/>
          <w:sz w:val="24"/>
          <w:szCs w:val="24"/>
        </w:rPr>
        <w:t>Sintya</w:t>
      </w:r>
      <w:proofErr w:type="spellEnd"/>
      <w:r w:rsidRPr="000171D3">
        <w:rPr>
          <w:b/>
          <w:bCs/>
          <w:sz w:val="24"/>
          <w:szCs w:val="24"/>
        </w:rPr>
        <w:t xml:space="preserve"> Aluna</w:t>
      </w:r>
      <w:r w:rsidR="006578BD" w:rsidRPr="006578BD">
        <w:rPr>
          <w:rFonts w:eastAsia="Times New Roman"/>
          <w:b/>
          <w:sz w:val="24"/>
          <w:szCs w:val="24"/>
          <w:vertAlign w:val="superscript"/>
        </w:rPr>
        <w:t>1*</w:t>
      </w:r>
    </w:p>
    <w:p w14:paraId="1652149B" w14:textId="58EB4846" w:rsidR="00F041E5" w:rsidRPr="007E36E6" w:rsidRDefault="007B721F" w:rsidP="007E36E6">
      <w:pPr>
        <w:jc w:val="center"/>
      </w:pPr>
      <w:proofErr w:type="spellStart"/>
      <w:r w:rsidRPr="007B721F">
        <w:rPr>
          <w:sz w:val="22"/>
          <w:szCs w:val="22"/>
        </w:rPr>
        <w:t>Jusuran</w:t>
      </w:r>
      <w:proofErr w:type="spellEnd"/>
      <w:r w:rsidRPr="007B721F">
        <w:rPr>
          <w:sz w:val="22"/>
          <w:szCs w:val="22"/>
        </w:rPr>
        <w:t xml:space="preserve"> Gizi, Prodi D3 Gizi, </w:t>
      </w:r>
      <w:proofErr w:type="spellStart"/>
      <w:r w:rsidRPr="007B721F">
        <w:rPr>
          <w:sz w:val="22"/>
          <w:szCs w:val="22"/>
        </w:rPr>
        <w:t>Poltekkes</w:t>
      </w:r>
      <w:proofErr w:type="spellEnd"/>
      <w:r w:rsidRPr="007B721F">
        <w:rPr>
          <w:sz w:val="22"/>
          <w:szCs w:val="22"/>
        </w:rPr>
        <w:t xml:space="preserve"> </w:t>
      </w:r>
      <w:proofErr w:type="spellStart"/>
      <w:r w:rsidR="00947CE8">
        <w:rPr>
          <w:sz w:val="22"/>
          <w:szCs w:val="22"/>
        </w:rPr>
        <w:t>K</w:t>
      </w:r>
      <w:r w:rsidRPr="007B721F">
        <w:rPr>
          <w:sz w:val="22"/>
          <w:szCs w:val="22"/>
        </w:rPr>
        <w:t>emenkes</w:t>
      </w:r>
      <w:proofErr w:type="spellEnd"/>
      <w:r w:rsidRPr="007B721F">
        <w:rPr>
          <w:sz w:val="22"/>
          <w:szCs w:val="22"/>
        </w:rPr>
        <w:t xml:space="preserve"> </w:t>
      </w:r>
      <w:r w:rsidR="00947CE8">
        <w:rPr>
          <w:sz w:val="22"/>
          <w:szCs w:val="22"/>
        </w:rPr>
        <w:t>M</w:t>
      </w:r>
      <w:r w:rsidRPr="007B721F">
        <w:rPr>
          <w:sz w:val="22"/>
          <w:szCs w:val="22"/>
        </w:rPr>
        <w:t>ataram,</w:t>
      </w:r>
      <w:r w:rsidR="00AA7DE5">
        <w:rPr>
          <w:sz w:val="22"/>
          <w:szCs w:val="22"/>
        </w:rPr>
        <w:t xml:space="preserve"> </w:t>
      </w:r>
      <w:r w:rsidR="00947CE8">
        <w:rPr>
          <w:sz w:val="22"/>
          <w:szCs w:val="22"/>
        </w:rPr>
        <w:t>Indonesia</w:t>
      </w:r>
    </w:p>
    <w:p w14:paraId="7DBE2B0B" w14:textId="03864CEC" w:rsidR="004A12DC" w:rsidRPr="004A12DC" w:rsidRDefault="006578BD" w:rsidP="004A12DC">
      <w:pPr>
        <w:jc w:val="center"/>
        <w:rPr>
          <w:i/>
          <w:iCs/>
          <w:sz w:val="22"/>
          <w:szCs w:val="22"/>
        </w:rPr>
      </w:pPr>
      <w:r w:rsidRPr="006578BD">
        <w:rPr>
          <w:rFonts w:eastAsia="Times New Roman"/>
          <w:sz w:val="22"/>
          <w:szCs w:val="22"/>
        </w:rPr>
        <w:t xml:space="preserve">Email: </w:t>
      </w:r>
      <w:r w:rsidRPr="00F041E5">
        <w:rPr>
          <w:rFonts w:eastAsia="Times New Roman"/>
          <w:sz w:val="22"/>
          <w:szCs w:val="22"/>
          <w:vertAlign w:val="superscript"/>
        </w:rPr>
        <w:t>*</w:t>
      </w:r>
      <w:r w:rsidRPr="00F041E5">
        <w:rPr>
          <w:rFonts w:eastAsia="Times New Roman"/>
          <w:i/>
          <w:iCs/>
          <w:sz w:val="22"/>
          <w:szCs w:val="22"/>
          <w:vertAlign w:val="superscript"/>
          <w:lang w:val="id-ID"/>
        </w:rPr>
        <w:t>1</w:t>
      </w:r>
      <w:r w:rsidR="00F041E5" w:rsidRPr="004A12DC">
        <w:rPr>
          <w:rFonts w:eastAsia="Times New Roman"/>
          <w:i/>
          <w:iCs/>
          <w:sz w:val="22"/>
          <w:szCs w:val="22"/>
          <w:vertAlign w:val="superscript"/>
          <w:lang w:val="id-ID"/>
        </w:rPr>
        <w:t xml:space="preserve"> </w:t>
      </w:r>
      <w:hyperlink r:id="rId8" w:history="1">
        <w:r w:rsidR="004A12DC" w:rsidRPr="004A12DC">
          <w:rPr>
            <w:rStyle w:val="Hyperlink"/>
            <w:i/>
            <w:iCs/>
            <w:sz w:val="22"/>
            <w:szCs w:val="22"/>
          </w:rPr>
          <w:t>anggunaluna2@gmail.com</w:t>
        </w:r>
      </w:hyperlink>
    </w:p>
    <w:p w14:paraId="0AA55FC0" w14:textId="4E375DE1" w:rsidR="00F041E5" w:rsidRPr="00F041E5" w:rsidRDefault="00F041E5" w:rsidP="00F041E5">
      <w:pPr>
        <w:jc w:val="center"/>
        <w:rPr>
          <w:i/>
          <w:iCs/>
          <w:sz w:val="22"/>
          <w:szCs w:val="22"/>
        </w:rPr>
      </w:pPr>
    </w:p>
    <w:p w14:paraId="5F0A5C0A" w14:textId="77777777" w:rsidR="00F041E5" w:rsidRDefault="00F041E5" w:rsidP="00F041E5">
      <w:pPr>
        <w:jc w:val="center"/>
      </w:pPr>
    </w:p>
    <w:p w14:paraId="33FC2A02" w14:textId="157CF0C2" w:rsidR="002343A9" w:rsidRPr="006578BD" w:rsidRDefault="002343A9" w:rsidP="006578BD">
      <w:pPr>
        <w:spacing w:line="240" w:lineRule="auto"/>
        <w:jc w:val="center"/>
        <w:rPr>
          <w:rFonts w:eastAsia="Palatino Linotype"/>
          <w:sz w:val="20"/>
          <w:szCs w:val="22"/>
          <w:vertAlign w:val="superscript"/>
        </w:rPr>
      </w:pPr>
    </w:p>
    <w:p w14:paraId="6BE44D70" w14:textId="77777777" w:rsidR="002343A9" w:rsidRDefault="00000000">
      <w:pPr>
        <w:spacing w:line="240" w:lineRule="auto"/>
        <w:jc w:val="both"/>
        <w:rPr>
          <w:rFonts w:ascii="Palatino Linotype" w:eastAsia="Palatino Linotype" w:hAnsi="Palatino Linotype" w:cs="Palatino Linotype"/>
          <w:vertAlign w:val="superscript"/>
        </w:rPr>
      </w:pPr>
      <w:r>
        <w:rPr>
          <w:rFonts w:ascii="Palatino Linotype" w:eastAsia="Palatino Linotype" w:hAnsi="Palatino Linotype" w:cs="Palatino Linotype"/>
          <w:vertAlign w:val="superscript"/>
        </w:rPr>
        <w:tab/>
      </w:r>
      <w:r>
        <w:rPr>
          <w:rFonts w:ascii="Palatino Linotype" w:eastAsia="Palatino Linotype" w:hAnsi="Palatino Linotype" w:cs="Palatino Linotype"/>
          <w:vertAlign w:val="superscript"/>
        </w:rPr>
        <w:tab/>
      </w:r>
      <w:r>
        <w:rPr>
          <w:rFonts w:ascii="Palatino Linotype" w:eastAsia="Palatino Linotype" w:hAnsi="Palatino Linotype" w:cs="Palatino Linotype"/>
          <w:vertAlign w:val="superscript"/>
        </w:rPr>
        <w:tab/>
      </w:r>
      <w:r>
        <w:rPr>
          <w:rFonts w:ascii="Palatino Linotype" w:eastAsia="Palatino Linotype" w:hAnsi="Palatino Linotype" w:cs="Palatino Linotype"/>
          <w:vertAlign w:val="superscript"/>
        </w:rPr>
        <w:tab/>
      </w:r>
    </w:p>
    <w:tbl>
      <w:tblPr>
        <w:tblStyle w:val="a"/>
        <w:tblW w:w="9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0"/>
        <w:gridCol w:w="300"/>
        <w:gridCol w:w="6375"/>
      </w:tblGrid>
      <w:tr w:rsidR="002343A9" w14:paraId="72423792" w14:textId="77777777" w:rsidTr="00A331AF">
        <w:trPr>
          <w:cnfStyle w:val="100000000000" w:firstRow="1" w:lastRow="0" w:firstColumn="0" w:lastColumn="0" w:oddVBand="0" w:evenVBand="0" w:oddHBand="0" w:evenHBand="0" w:firstRowFirstColumn="0" w:firstRowLastColumn="0" w:lastRowFirstColumn="0" w:lastRowLastColumn="0"/>
          <w:trHeight w:val="2805"/>
        </w:trPr>
        <w:tc>
          <w:tcPr>
            <w:cnfStyle w:val="001000000000" w:firstRow="0" w:lastRow="0" w:firstColumn="1" w:lastColumn="0" w:oddVBand="0" w:evenVBand="0" w:oddHBand="0" w:evenHBand="0" w:firstRowFirstColumn="0" w:firstRowLastColumn="0" w:lastRowFirstColumn="0" w:lastRowLastColumn="0"/>
            <w:tcW w:w="2400" w:type="dxa"/>
            <w:tcBorders>
              <w:left w:val="nil"/>
              <w:bottom w:val="single" w:sz="4" w:space="0" w:color="000000"/>
              <w:right w:val="nil"/>
            </w:tcBorders>
          </w:tcPr>
          <w:p w14:paraId="307BC32A" w14:textId="77777777" w:rsidR="002343A9" w:rsidRDefault="007D483F">
            <w:pPr>
              <w:widowControl/>
              <w:pBdr>
                <w:top w:val="nil"/>
                <w:left w:val="nil"/>
                <w:bottom w:val="single" w:sz="4" w:space="1" w:color="000000"/>
                <w:right w:val="nil"/>
                <w:between w:val="nil"/>
              </w:pBdr>
              <w:tabs>
                <w:tab w:val="center" w:pos="4706"/>
                <w:tab w:val="right" w:pos="9356"/>
              </w:tabs>
              <w:spacing w:after="80" w:line="240" w:lineRule="auto"/>
              <w:rPr>
                <w:rFonts w:eastAsia="Times New Roman"/>
                <w:color w:val="000000"/>
                <w:sz w:val="18"/>
                <w:szCs w:val="18"/>
              </w:rPr>
            </w:pPr>
            <w:r>
              <w:rPr>
                <w:rFonts w:eastAsia="Times New Roman"/>
                <w:b w:val="0"/>
                <w:color w:val="000000"/>
                <w:sz w:val="18"/>
                <w:szCs w:val="18"/>
              </w:rPr>
              <w:t>Article History</w:t>
            </w:r>
          </w:p>
          <w:p w14:paraId="16FAF74E" w14:textId="3A40B5A5" w:rsidR="002343A9" w:rsidRDefault="007D483F">
            <w:pPr>
              <w:widowControl/>
              <w:pBdr>
                <w:top w:val="nil"/>
                <w:left w:val="nil"/>
                <w:bottom w:val="single" w:sz="4" w:space="1" w:color="000000"/>
                <w:right w:val="nil"/>
                <w:between w:val="nil"/>
              </w:pBdr>
              <w:tabs>
                <w:tab w:val="center" w:pos="4706"/>
                <w:tab w:val="right" w:pos="9356"/>
              </w:tabs>
              <w:spacing w:line="240" w:lineRule="auto"/>
              <w:rPr>
                <w:rFonts w:eastAsia="Times New Roman"/>
                <w:color w:val="000000"/>
                <w:sz w:val="18"/>
                <w:szCs w:val="18"/>
              </w:rPr>
            </w:pPr>
            <w:r>
              <w:rPr>
                <w:rFonts w:eastAsia="Times New Roman"/>
                <w:b w:val="0"/>
                <w:color w:val="000000"/>
                <w:sz w:val="18"/>
                <w:szCs w:val="18"/>
              </w:rPr>
              <w:t>Submitted</w:t>
            </w:r>
            <w:r w:rsidR="00FD4F17">
              <w:rPr>
                <w:rFonts w:eastAsia="Times New Roman"/>
                <w:b w:val="0"/>
                <w:color w:val="000000"/>
                <w:sz w:val="18"/>
                <w:szCs w:val="18"/>
              </w:rPr>
              <w:t>:</w:t>
            </w:r>
            <w:r w:rsidR="00F9339D">
              <w:rPr>
                <w:rFonts w:eastAsia="Times New Roman"/>
                <w:b w:val="0"/>
                <w:color w:val="000000"/>
                <w:sz w:val="18"/>
                <w:szCs w:val="18"/>
              </w:rPr>
              <w:t xml:space="preserve"> April 20 2026</w:t>
            </w:r>
          </w:p>
          <w:p w14:paraId="34EE2508" w14:textId="7B932467" w:rsidR="002343A9" w:rsidRDefault="007D483F">
            <w:pPr>
              <w:widowControl/>
              <w:pBdr>
                <w:top w:val="nil"/>
                <w:left w:val="nil"/>
                <w:bottom w:val="single" w:sz="4" w:space="1" w:color="000000"/>
                <w:right w:val="nil"/>
                <w:between w:val="nil"/>
              </w:pBdr>
              <w:tabs>
                <w:tab w:val="center" w:pos="4706"/>
                <w:tab w:val="right" w:pos="9356"/>
              </w:tabs>
              <w:spacing w:line="240" w:lineRule="auto"/>
              <w:rPr>
                <w:rFonts w:eastAsia="Times New Roman"/>
                <w:color w:val="000000"/>
                <w:sz w:val="18"/>
                <w:szCs w:val="18"/>
              </w:rPr>
            </w:pPr>
            <w:r>
              <w:rPr>
                <w:rFonts w:eastAsia="Times New Roman"/>
                <w:b w:val="0"/>
                <w:color w:val="000000"/>
                <w:sz w:val="18"/>
                <w:szCs w:val="18"/>
              </w:rPr>
              <w:t>Revised</w:t>
            </w:r>
            <w:r w:rsidR="00FD4F17">
              <w:rPr>
                <w:rFonts w:eastAsia="Times New Roman"/>
                <w:b w:val="0"/>
                <w:color w:val="000000"/>
                <w:sz w:val="18"/>
                <w:szCs w:val="18"/>
              </w:rPr>
              <w:t xml:space="preserve">: </w:t>
            </w:r>
            <w:r w:rsidR="00F9339D">
              <w:rPr>
                <w:rFonts w:eastAsia="Times New Roman"/>
                <w:b w:val="0"/>
                <w:color w:val="000000"/>
                <w:sz w:val="18"/>
                <w:szCs w:val="18"/>
              </w:rPr>
              <w:t>May 18 2026</w:t>
            </w:r>
          </w:p>
          <w:p w14:paraId="2F0F7880" w14:textId="241CB8FA" w:rsidR="002343A9" w:rsidRDefault="007D483F">
            <w:pPr>
              <w:widowControl/>
              <w:pBdr>
                <w:top w:val="nil"/>
                <w:left w:val="nil"/>
                <w:bottom w:val="single" w:sz="4" w:space="1" w:color="000000"/>
                <w:right w:val="nil"/>
                <w:between w:val="nil"/>
              </w:pBdr>
              <w:tabs>
                <w:tab w:val="center" w:pos="4706"/>
                <w:tab w:val="right" w:pos="9356"/>
              </w:tabs>
              <w:spacing w:line="240" w:lineRule="auto"/>
              <w:rPr>
                <w:rFonts w:eastAsia="Times New Roman"/>
                <w:color w:val="000000"/>
                <w:sz w:val="18"/>
                <w:szCs w:val="18"/>
              </w:rPr>
            </w:pPr>
            <w:r>
              <w:rPr>
                <w:rFonts w:eastAsia="Times New Roman"/>
                <w:b w:val="0"/>
                <w:color w:val="000000"/>
                <w:sz w:val="18"/>
                <w:szCs w:val="18"/>
              </w:rPr>
              <w:t>Accepted</w:t>
            </w:r>
            <w:r w:rsidR="00FD4F17">
              <w:rPr>
                <w:rFonts w:eastAsia="Times New Roman"/>
                <w:b w:val="0"/>
                <w:color w:val="000000"/>
                <w:sz w:val="18"/>
                <w:szCs w:val="18"/>
              </w:rPr>
              <w:t xml:space="preserve">: </w:t>
            </w:r>
            <w:r w:rsidR="00F9339D">
              <w:rPr>
                <w:rFonts w:eastAsia="Times New Roman"/>
                <w:b w:val="0"/>
                <w:color w:val="000000"/>
                <w:sz w:val="18"/>
                <w:szCs w:val="18"/>
              </w:rPr>
              <w:t>Juny 10 2026</w:t>
            </w:r>
          </w:p>
          <w:p w14:paraId="7F8EA31C" w14:textId="4DFD7CE5" w:rsidR="002343A9" w:rsidRDefault="007D483F">
            <w:pPr>
              <w:widowControl/>
              <w:pBdr>
                <w:top w:val="nil"/>
                <w:left w:val="nil"/>
                <w:bottom w:val="single" w:sz="4" w:space="1" w:color="000000"/>
                <w:right w:val="nil"/>
                <w:between w:val="nil"/>
              </w:pBdr>
              <w:tabs>
                <w:tab w:val="center" w:pos="4706"/>
                <w:tab w:val="right" w:pos="9356"/>
              </w:tabs>
              <w:spacing w:line="240" w:lineRule="auto"/>
              <w:rPr>
                <w:rFonts w:eastAsia="Times New Roman"/>
                <w:color w:val="000000"/>
                <w:sz w:val="18"/>
                <w:szCs w:val="18"/>
              </w:rPr>
            </w:pPr>
            <w:r>
              <w:rPr>
                <w:rFonts w:eastAsia="Times New Roman"/>
                <w:b w:val="0"/>
                <w:color w:val="000000"/>
                <w:sz w:val="18"/>
                <w:szCs w:val="18"/>
              </w:rPr>
              <w:t>Published</w:t>
            </w:r>
            <w:r w:rsidR="00FD4F17">
              <w:rPr>
                <w:rFonts w:eastAsia="Times New Roman"/>
                <w:b w:val="0"/>
                <w:color w:val="000000"/>
                <w:sz w:val="18"/>
                <w:szCs w:val="18"/>
              </w:rPr>
              <w:t xml:space="preserve">: </w:t>
            </w:r>
            <w:r w:rsidR="00F9339D">
              <w:rPr>
                <w:rFonts w:eastAsia="Times New Roman"/>
                <w:b w:val="0"/>
                <w:color w:val="000000"/>
                <w:sz w:val="18"/>
                <w:szCs w:val="18"/>
              </w:rPr>
              <w:t xml:space="preserve">Juny </w:t>
            </w:r>
            <w:r w:rsidR="00F9339D">
              <w:rPr>
                <w:rFonts w:eastAsia="Times New Roman"/>
                <w:b w:val="0"/>
                <w:color w:val="000000"/>
                <w:sz w:val="18"/>
                <w:szCs w:val="18"/>
              </w:rPr>
              <w:t xml:space="preserve">25 </w:t>
            </w:r>
            <w:r w:rsidR="00F9339D">
              <w:rPr>
                <w:rFonts w:eastAsia="Times New Roman"/>
                <w:b w:val="0"/>
                <w:color w:val="000000"/>
                <w:sz w:val="18"/>
                <w:szCs w:val="18"/>
              </w:rPr>
              <w:t>2026</w:t>
            </w:r>
          </w:p>
          <w:p w14:paraId="1E14567F" w14:textId="77777777" w:rsidR="002343A9" w:rsidRDefault="002343A9">
            <w:pPr>
              <w:widowControl/>
              <w:pBdr>
                <w:top w:val="nil"/>
                <w:left w:val="nil"/>
                <w:bottom w:val="nil"/>
                <w:right w:val="nil"/>
                <w:between w:val="nil"/>
              </w:pBdr>
              <w:tabs>
                <w:tab w:val="center" w:pos="4706"/>
                <w:tab w:val="right" w:pos="9356"/>
              </w:tabs>
              <w:spacing w:after="80" w:line="240" w:lineRule="auto"/>
              <w:rPr>
                <w:rFonts w:eastAsia="Times New Roman"/>
                <w:color w:val="000000"/>
                <w:sz w:val="18"/>
                <w:szCs w:val="18"/>
              </w:rPr>
            </w:pPr>
          </w:p>
          <w:p w14:paraId="0D46FA37" w14:textId="1E032B0D" w:rsidR="002343A9" w:rsidRDefault="00000000" w:rsidP="00A331AF">
            <w:pPr>
              <w:widowControl/>
              <w:tabs>
                <w:tab w:val="center" w:pos="4706"/>
                <w:tab w:val="right" w:pos="9356"/>
              </w:tabs>
              <w:spacing w:after="80" w:line="240" w:lineRule="auto"/>
              <w:rPr>
                <w:rFonts w:eastAsia="Times New Roman"/>
                <w:color w:val="000000"/>
                <w:sz w:val="18"/>
                <w:szCs w:val="18"/>
              </w:rPr>
            </w:pPr>
            <w:r>
              <w:rPr>
                <w:rFonts w:eastAsia="Times New Roman"/>
                <w:b w:val="0"/>
                <w:color w:val="000000"/>
                <w:sz w:val="18"/>
                <w:szCs w:val="18"/>
              </w:rPr>
              <w:t>Keywords</w:t>
            </w:r>
            <w:r w:rsidR="00FD4F17">
              <w:rPr>
                <w:rFonts w:eastAsia="Times New Roman"/>
                <w:b w:val="0"/>
                <w:color w:val="000000"/>
                <w:sz w:val="18"/>
                <w:szCs w:val="18"/>
              </w:rPr>
              <w:t>:</w:t>
            </w:r>
          </w:p>
          <w:p w14:paraId="7E8ED87E" w14:textId="383FD48E" w:rsidR="002343A9" w:rsidRPr="00E820CF" w:rsidRDefault="00E820CF" w:rsidP="00A331AF">
            <w:pPr>
              <w:widowControl/>
              <w:tabs>
                <w:tab w:val="center" w:pos="4706"/>
                <w:tab w:val="right" w:pos="9356"/>
              </w:tabs>
              <w:spacing w:after="80" w:line="240" w:lineRule="auto"/>
              <w:rPr>
                <w:rFonts w:eastAsia="Times New Roman"/>
                <w:b w:val="0"/>
                <w:bCs/>
                <w:color w:val="000000"/>
                <w:sz w:val="18"/>
                <w:szCs w:val="18"/>
              </w:rPr>
            </w:pPr>
            <w:r w:rsidRPr="00E820CF">
              <w:rPr>
                <w:b w:val="0"/>
                <w:bCs/>
                <w:i/>
                <w:iCs/>
              </w:rPr>
              <w:t>artificial intelligence</w:t>
            </w:r>
            <w:r w:rsidRPr="00E820CF">
              <w:rPr>
                <w:b w:val="0"/>
                <w:bCs/>
              </w:rPr>
              <w:t xml:space="preserve">; personal nutrition; </w:t>
            </w:r>
            <w:r w:rsidRPr="00E820CF">
              <w:rPr>
                <w:b w:val="0"/>
                <w:bCs/>
                <w:i/>
                <w:iCs/>
              </w:rPr>
              <w:t>precision nutrition</w:t>
            </w:r>
            <w:r w:rsidRPr="00E820CF">
              <w:rPr>
                <w:b w:val="0"/>
                <w:bCs/>
              </w:rPr>
              <w:t>; non-communicable diseases; dietary recommendations; systematic review</w:t>
            </w:r>
          </w:p>
          <w:p w14:paraId="6E836C50" w14:textId="77777777" w:rsidR="00A331AF" w:rsidRDefault="00A331AF" w:rsidP="00A331AF">
            <w:pPr>
              <w:widowControl/>
              <w:tabs>
                <w:tab w:val="center" w:pos="4706"/>
                <w:tab w:val="right" w:pos="9356"/>
              </w:tabs>
              <w:spacing w:after="80" w:line="240" w:lineRule="auto"/>
              <w:rPr>
                <w:rFonts w:eastAsia="Times New Roman"/>
                <w:color w:val="000000"/>
                <w:sz w:val="18"/>
                <w:szCs w:val="18"/>
              </w:rPr>
            </w:pPr>
          </w:p>
          <w:p w14:paraId="2C7F4FDA" w14:textId="77777777" w:rsidR="002343A9" w:rsidRDefault="002343A9" w:rsidP="00A331AF">
            <w:pPr>
              <w:widowControl/>
              <w:pBdr>
                <w:top w:val="nil"/>
                <w:left w:val="nil"/>
                <w:bottom w:val="nil"/>
                <w:right w:val="nil"/>
                <w:between w:val="nil"/>
              </w:pBdr>
              <w:tabs>
                <w:tab w:val="center" w:pos="4706"/>
                <w:tab w:val="right" w:pos="9356"/>
              </w:tabs>
              <w:spacing w:after="80" w:line="240" w:lineRule="auto"/>
              <w:rPr>
                <w:rFonts w:eastAsia="Times New Roman"/>
                <w:color w:val="000000"/>
                <w:sz w:val="18"/>
                <w:szCs w:val="18"/>
              </w:rPr>
            </w:pPr>
          </w:p>
        </w:tc>
        <w:tc>
          <w:tcPr>
            <w:tcW w:w="300" w:type="dxa"/>
            <w:tcBorders>
              <w:top w:val="single" w:sz="4" w:space="0" w:color="000000"/>
              <w:left w:val="nil"/>
              <w:bottom w:val="single" w:sz="4" w:space="0" w:color="000000"/>
              <w:right w:val="nil"/>
            </w:tcBorders>
          </w:tcPr>
          <w:p w14:paraId="2B272887" w14:textId="77777777" w:rsidR="002343A9" w:rsidRDefault="002343A9">
            <w:pPr>
              <w:widowControl/>
              <w:pBdr>
                <w:top w:val="nil"/>
                <w:left w:val="nil"/>
                <w:bottom w:val="nil"/>
                <w:right w:val="nil"/>
                <w:between w:val="nil"/>
              </w:pBdr>
              <w:tabs>
                <w:tab w:val="center" w:pos="4706"/>
                <w:tab w:val="right" w:pos="9356"/>
              </w:tabs>
              <w:spacing w:after="8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olor w:val="000000"/>
                <w:sz w:val="18"/>
                <w:szCs w:val="18"/>
              </w:rPr>
            </w:pPr>
          </w:p>
        </w:tc>
        <w:tc>
          <w:tcPr>
            <w:tcW w:w="6375" w:type="dxa"/>
            <w:tcBorders>
              <w:left w:val="nil"/>
              <w:bottom w:val="single" w:sz="4" w:space="0" w:color="000000"/>
              <w:right w:val="nil"/>
            </w:tcBorders>
          </w:tcPr>
          <w:p w14:paraId="184A7DB7" w14:textId="0FBA9541" w:rsidR="002343A9" w:rsidRPr="00754371" w:rsidRDefault="00000000" w:rsidP="00A331AF">
            <w:pPr>
              <w:widowControl/>
              <w:tabs>
                <w:tab w:val="center" w:pos="4706"/>
                <w:tab w:val="right" w:pos="9356"/>
              </w:tabs>
              <w:spacing w:after="80" w:line="240" w:lineRule="auto"/>
              <w:ind w:left="-110" w:right="-109"/>
              <w:jc w:val="both"/>
              <w:cnfStyle w:val="100000000000" w:firstRow="1" w:lastRow="0" w:firstColumn="0" w:lastColumn="0" w:oddVBand="0" w:evenVBand="0" w:oddHBand="0" w:evenHBand="0" w:firstRowFirstColumn="0" w:firstRowLastColumn="0" w:lastRowFirstColumn="0" w:lastRowLastColumn="0"/>
              <w:rPr>
                <w:rFonts w:eastAsia="Times New Roman"/>
                <w:bCs/>
                <w:color w:val="000000"/>
                <w:sz w:val="22"/>
                <w:szCs w:val="22"/>
              </w:rPr>
            </w:pPr>
            <w:r w:rsidRPr="00754371">
              <w:rPr>
                <w:rFonts w:eastAsia="Times New Roman"/>
                <w:bCs/>
                <w:color w:val="000000"/>
                <w:sz w:val="22"/>
                <w:szCs w:val="22"/>
              </w:rPr>
              <w:t>Abstract</w:t>
            </w:r>
          </w:p>
          <w:p w14:paraId="7CC59192" w14:textId="39413361" w:rsidR="002343A9" w:rsidRPr="00754371" w:rsidRDefault="007E36E6" w:rsidP="00A331AF">
            <w:pPr>
              <w:widowControl/>
              <w:tabs>
                <w:tab w:val="center" w:pos="4706"/>
                <w:tab w:val="right" w:pos="9356"/>
              </w:tabs>
              <w:spacing w:after="80" w:line="240" w:lineRule="auto"/>
              <w:ind w:left="-110" w:right="-109"/>
              <w:jc w:val="both"/>
              <w:cnfStyle w:val="100000000000" w:firstRow="1" w:lastRow="0" w:firstColumn="0" w:lastColumn="0" w:oddVBand="0" w:evenVBand="0" w:oddHBand="0" w:evenHBand="0" w:firstRowFirstColumn="0" w:firstRowLastColumn="0" w:lastRowFirstColumn="0" w:lastRowLastColumn="0"/>
              <w:rPr>
                <w:rFonts w:eastAsia="Times New Roman"/>
                <w:b w:val="0"/>
                <w:bCs/>
                <w:color w:val="000000"/>
                <w:sz w:val="20"/>
              </w:rPr>
            </w:pPr>
            <w:r w:rsidRPr="007E36E6">
              <w:rPr>
                <w:b w:val="0"/>
                <w:bCs/>
                <w:sz w:val="20"/>
              </w:rPr>
              <w:t xml:space="preserve">This study aims to </w:t>
            </w:r>
            <w:proofErr w:type="spellStart"/>
            <w:r w:rsidRPr="007E36E6">
              <w:rPr>
                <w:b w:val="0"/>
                <w:bCs/>
                <w:sz w:val="20"/>
              </w:rPr>
              <w:t>analyze</w:t>
            </w:r>
            <w:proofErr w:type="spellEnd"/>
            <w:r w:rsidRPr="007E36E6">
              <w:rPr>
                <w:b w:val="0"/>
                <w:bCs/>
                <w:sz w:val="20"/>
              </w:rPr>
              <w:t xml:space="preserve"> the use of </w:t>
            </w:r>
            <w:r w:rsidRPr="007E36E6">
              <w:rPr>
                <w:b w:val="0"/>
                <w:bCs/>
                <w:i/>
                <w:iCs/>
                <w:sz w:val="20"/>
              </w:rPr>
              <w:t>artificial intelligence</w:t>
            </w:r>
            <w:r w:rsidRPr="007E36E6">
              <w:rPr>
                <w:b w:val="0"/>
                <w:bCs/>
                <w:sz w:val="20"/>
              </w:rPr>
              <w:t xml:space="preserve"> in improving the accuracy of personal nutrition recommendations for the prevention of non-communicable diseases. The study used </w:t>
            </w:r>
            <w:r w:rsidRPr="007E36E6">
              <w:rPr>
                <w:b w:val="0"/>
                <w:bCs/>
                <w:i/>
                <w:iCs/>
                <w:sz w:val="20"/>
              </w:rPr>
              <w:t>a systematic literature review method,</w:t>
            </w:r>
            <w:r w:rsidRPr="007E36E6">
              <w:rPr>
                <w:b w:val="0"/>
                <w:bCs/>
                <w:sz w:val="20"/>
              </w:rPr>
              <w:t xml:space="preserve"> following the PRISMA 2020 guidelines. Articles were searched </w:t>
            </w:r>
            <w:r w:rsidR="003E0FD7">
              <w:rPr>
                <w:b w:val="0"/>
                <w:bCs/>
                <w:sz w:val="20"/>
              </w:rPr>
              <w:t>in the Scopus, PubMed, Web of Science, and ScienceDirect databases for the 2021–2026 publication period</w:t>
            </w:r>
            <w:r w:rsidRPr="007E36E6">
              <w:rPr>
                <w:b w:val="0"/>
                <w:bCs/>
                <w:sz w:val="20"/>
              </w:rPr>
              <w:t xml:space="preserve">. The keywords used include </w:t>
            </w:r>
            <w:r w:rsidRPr="007E36E6">
              <w:rPr>
                <w:b w:val="0"/>
                <w:bCs/>
                <w:i/>
                <w:iCs/>
                <w:sz w:val="20"/>
              </w:rPr>
              <w:t>artificial intelligence, machine learning, deep learning, personalized nutrition, precision nutrition, dietary recommendations</w:t>
            </w:r>
            <w:r w:rsidRPr="007E36E6">
              <w:rPr>
                <w:b w:val="0"/>
                <w:bCs/>
                <w:sz w:val="20"/>
              </w:rPr>
              <w:t xml:space="preserve">, and </w:t>
            </w:r>
            <w:r w:rsidRPr="007E36E6">
              <w:rPr>
                <w:b w:val="0"/>
                <w:bCs/>
                <w:i/>
                <w:iCs/>
                <w:sz w:val="20"/>
              </w:rPr>
              <w:t>non-communicable diseases</w:t>
            </w:r>
            <w:r w:rsidRPr="007E36E6">
              <w:rPr>
                <w:b w:val="0"/>
                <w:bCs/>
                <w:sz w:val="20"/>
              </w:rPr>
              <w:t xml:space="preserve">. Articles that meet the inclusion criteria are </w:t>
            </w:r>
            <w:proofErr w:type="spellStart"/>
            <w:r w:rsidRPr="007E36E6">
              <w:rPr>
                <w:b w:val="0"/>
                <w:bCs/>
                <w:sz w:val="20"/>
              </w:rPr>
              <w:t>analyzed</w:t>
            </w:r>
            <w:proofErr w:type="spellEnd"/>
            <w:r w:rsidRPr="007E36E6">
              <w:rPr>
                <w:b w:val="0"/>
                <w:bCs/>
                <w:sz w:val="20"/>
              </w:rPr>
              <w:t xml:space="preserve"> narratively and thematically based on the type of algorithm, personal data sources, accuracy indicators, health outcomes, and implementation limitations. The results of the study show that </w:t>
            </w:r>
            <w:r w:rsidRPr="007E36E6">
              <w:rPr>
                <w:b w:val="0"/>
                <w:bCs/>
                <w:i/>
                <w:iCs/>
                <w:sz w:val="20"/>
              </w:rPr>
              <w:t>artificial intelligence</w:t>
            </w:r>
            <w:r w:rsidRPr="007E36E6">
              <w:rPr>
                <w:b w:val="0"/>
                <w:bCs/>
                <w:sz w:val="20"/>
              </w:rPr>
              <w:t xml:space="preserve"> has been used for food intake assessment, food type and portion recognition, metabolic response prediction, menu planning, dietary adherence monitoring, and preparation of personal nutrition recommendations. The integration of anthropometric, biomarker, physical activity, sleep patterns, microbiome, and health history allows for more adaptive recommendations than general nutritional guidelines. Some studies report improvements in dietary quality, weight, waist circumference, HbA1c, and triglycerides. However, clinical effectiveness has not been consistent due to data quality, algorithmic bias, limitations of local food databases, low external validation, and short duration of interventions. In addition, </w:t>
            </w:r>
            <w:r w:rsidR="00AA7DE5">
              <w:rPr>
                <w:b w:val="0"/>
                <w:bCs/>
                <w:sz w:val="20"/>
              </w:rPr>
              <w:t>issues of transparency, privacy, data security, and access inequality remain</w:t>
            </w:r>
            <w:r w:rsidRPr="007E36E6">
              <w:rPr>
                <w:b w:val="0"/>
                <w:bCs/>
                <w:sz w:val="20"/>
              </w:rPr>
              <w:t xml:space="preserve"> the main challenges. It is concluded that </w:t>
            </w:r>
            <w:r w:rsidRPr="007E36E6">
              <w:rPr>
                <w:b w:val="0"/>
                <w:bCs/>
                <w:i/>
                <w:iCs/>
                <w:sz w:val="20"/>
              </w:rPr>
              <w:t>artificial intelligence</w:t>
            </w:r>
            <w:r w:rsidRPr="007E36E6">
              <w:rPr>
                <w:b w:val="0"/>
                <w:bCs/>
                <w:sz w:val="20"/>
              </w:rPr>
              <w:t xml:space="preserve"> has the potential to support the prevention of non-communicable diseases, but its use </w:t>
            </w:r>
            <w:r w:rsidR="003E0FD7">
              <w:rPr>
                <w:b w:val="0"/>
                <w:bCs/>
                <w:sz w:val="20"/>
              </w:rPr>
              <w:t>should be implemented as a decision-support system involving</w:t>
            </w:r>
            <w:r w:rsidRPr="007E36E6">
              <w:rPr>
                <w:b w:val="0"/>
                <w:bCs/>
                <w:sz w:val="20"/>
              </w:rPr>
              <w:t xml:space="preserve"> nutritionists. Follow-up research requires </w:t>
            </w:r>
            <w:proofErr w:type="spellStart"/>
            <w:r w:rsidRPr="007E36E6">
              <w:rPr>
                <w:b w:val="0"/>
                <w:bCs/>
                <w:sz w:val="20"/>
              </w:rPr>
              <w:t>multicenter</w:t>
            </w:r>
            <w:proofErr w:type="spellEnd"/>
            <w:r w:rsidRPr="007E36E6">
              <w:rPr>
                <w:b w:val="0"/>
                <w:bCs/>
                <w:sz w:val="20"/>
              </w:rPr>
              <w:t xml:space="preserve"> clinical trials, standardization of accuracy indicators, validation </w:t>
            </w:r>
            <w:r w:rsidR="00AA7DE5">
              <w:rPr>
                <w:b w:val="0"/>
                <w:bCs/>
                <w:sz w:val="20"/>
              </w:rPr>
              <w:t>across diverse populations, and strengthening of ethical regulations and data protection measures</w:t>
            </w:r>
            <w:r w:rsidRPr="007E36E6">
              <w:rPr>
                <w:b w:val="0"/>
                <w:bCs/>
                <w:sz w:val="20"/>
              </w:rPr>
              <w:t>. This approach is expected to produce safe, equitable, contextual, evidence-based, and sustainable nutrition services optimally for the wider community</w:t>
            </w:r>
            <w:r w:rsidR="006D0722">
              <w:rPr>
                <w:b w:val="0"/>
                <w:bCs/>
                <w:sz w:val="20"/>
              </w:rPr>
              <w:t>.</w:t>
            </w:r>
          </w:p>
          <w:p w14:paraId="247687BE" w14:textId="28AC6C6A" w:rsidR="002343A9" w:rsidRPr="006578BD" w:rsidRDefault="002343A9">
            <w:pPr>
              <w:widowControl/>
              <w:pBdr>
                <w:top w:val="nil"/>
                <w:left w:val="nil"/>
                <w:bottom w:val="nil"/>
                <w:right w:val="nil"/>
                <w:between w:val="nil"/>
              </w:pBdr>
              <w:tabs>
                <w:tab w:val="center" w:pos="4706"/>
                <w:tab w:val="right" w:pos="9356"/>
              </w:tabs>
              <w:spacing w:after="80" w:line="240" w:lineRule="auto"/>
              <w:ind w:left="-110" w:right="-109"/>
              <w:jc w:val="both"/>
              <w:cnfStyle w:val="100000000000" w:firstRow="1" w:lastRow="0" w:firstColumn="0" w:lastColumn="0" w:oddVBand="0" w:evenVBand="0" w:oddHBand="0" w:evenHBand="0" w:firstRowFirstColumn="0" w:firstRowLastColumn="0" w:lastRowFirstColumn="0" w:lastRowLastColumn="0"/>
              <w:rPr>
                <w:rFonts w:eastAsia="Times New Roman"/>
                <w:color w:val="000000"/>
                <w:sz w:val="20"/>
              </w:rPr>
            </w:pPr>
          </w:p>
        </w:tc>
      </w:tr>
      <w:tr w:rsidR="002343A9" w14:paraId="31A23F54" w14:textId="77777777" w:rsidTr="00234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Borders>
              <w:top w:val="single" w:sz="4" w:space="0" w:color="000000"/>
              <w:left w:val="nil"/>
              <w:bottom w:val="single" w:sz="4" w:space="0" w:color="000000"/>
              <w:right w:val="nil"/>
            </w:tcBorders>
          </w:tcPr>
          <w:p w14:paraId="715ADB0A" w14:textId="77777777" w:rsidR="002343A9" w:rsidRDefault="00000000">
            <w:pPr>
              <w:widowControl/>
              <w:pBdr>
                <w:top w:val="nil"/>
                <w:left w:val="nil"/>
                <w:bottom w:val="nil"/>
                <w:right w:val="nil"/>
                <w:between w:val="nil"/>
              </w:pBdr>
              <w:tabs>
                <w:tab w:val="center" w:pos="4706"/>
                <w:tab w:val="right" w:pos="9356"/>
              </w:tabs>
              <w:spacing w:after="80" w:line="240" w:lineRule="auto"/>
              <w:jc w:val="center"/>
              <w:rPr>
                <w:rFonts w:ascii="Palatino Linotype" w:eastAsia="Palatino Linotype" w:hAnsi="Palatino Linotype" w:cs="Palatino Linotype"/>
                <w:color w:val="000000"/>
                <w:sz w:val="18"/>
                <w:szCs w:val="18"/>
              </w:rPr>
            </w:pPr>
            <w:r>
              <w:rPr>
                <w:rFonts w:eastAsia="Times New Roman"/>
                <w:noProof/>
                <w:color w:val="000000"/>
                <w:sz w:val="14"/>
                <w:szCs w:val="14"/>
              </w:rPr>
              <w:drawing>
                <wp:inline distT="0" distB="0" distL="0" distR="0" wp14:anchorId="0699AE4A" wp14:editId="50BFF27F">
                  <wp:extent cx="879549" cy="351853"/>
                  <wp:effectExtent l="0" t="0" r="0" b="0"/>
                  <wp:docPr id="1794683491" name="image6.png" descr="LPPM TAZKIA - Berkembang dengan Open Access: Arah Baru Akses ..."/>
                  <wp:cNvGraphicFramePr/>
                  <a:graphic xmlns:a="http://schemas.openxmlformats.org/drawingml/2006/main">
                    <a:graphicData uri="http://schemas.openxmlformats.org/drawingml/2006/picture">
                      <pic:pic xmlns:pic="http://schemas.openxmlformats.org/drawingml/2006/picture">
                        <pic:nvPicPr>
                          <pic:cNvPr id="0" name="image6.png" descr="LPPM TAZKIA - Berkembang dengan Open Access: Arah Baru Akses ..."/>
                          <pic:cNvPicPr preferRelativeResize="0"/>
                        </pic:nvPicPr>
                        <pic:blipFill>
                          <a:blip r:embed="rId9"/>
                          <a:srcRect/>
                          <a:stretch>
                            <a:fillRect/>
                          </a:stretch>
                        </pic:blipFill>
                        <pic:spPr>
                          <a:xfrm>
                            <a:off x="0" y="0"/>
                            <a:ext cx="879549" cy="351853"/>
                          </a:xfrm>
                          <a:prstGeom prst="rect">
                            <a:avLst/>
                          </a:prstGeom>
                          <a:ln/>
                        </pic:spPr>
                      </pic:pic>
                    </a:graphicData>
                  </a:graphic>
                </wp:inline>
              </w:drawing>
            </w:r>
          </w:p>
        </w:tc>
        <w:tc>
          <w:tcPr>
            <w:tcW w:w="300" w:type="dxa"/>
            <w:tcBorders>
              <w:top w:val="single" w:sz="4" w:space="0" w:color="000000"/>
              <w:left w:val="nil"/>
              <w:bottom w:val="single" w:sz="4" w:space="0" w:color="000000"/>
              <w:right w:val="nil"/>
            </w:tcBorders>
          </w:tcPr>
          <w:p w14:paraId="45920A57" w14:textId="77777777" w:rsidR="002343A9" w:rsidRDefault="00000000">
            <w:pPr>
              <w:widowControl/>
              <w:pBdr>
                <w:top w:val="nil"/>
                <w:left w:val="nil"/>
                <w:bottom w:val="nil"/>
                <w:right w:val="nil"/>
                <w:between w:val="nil"/>
              </w:pBdr>
              <w:tabs>
                <w:tab w:val="center" w:pos="4706"/>
                <w:tab w:val="right" w:pos="9356"/>
              </w:tabs>
              <w:spacing w:after="80"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color w:val="000000"/>
                <w:sz w:val="18"/>
                <w:szCs w:val="18"/>
              </w:rPr>
            </w:pPr>
            <w:r>
              <w:rPr>
                <w:noProof/>
              </w:rPr>
              <w:drawing>
                <wp:anchor distT="0" distB="0" distL="114300" distR="114300" simplePos="0" relativeHeight="251658240" behindDoc="0" locked="0" layoutInCell="1" hidden="0" allowOverlap="1" wp14:anchorId="6EC6D304" wp14:editId="5C9A3B56">
                  <wp:simplePos x="0" y="0"/>
                  <wp:positionH relativeFrom="column">
                    <wp:posOffset>110491</wp:posOffset>
                  </wp:positionH>
                  <wp:positionV relativeFrom="paragraph">
                    <wp:posOffset>45720</wp:posOffset>
                  </wp:positionV>
                  <wp:extent cx="668655" cy="234950"/>
                  <wp:effectExtent l="0" t="0" r="0" b="0"/>
                  <wp:wrapNone/>
                  <wp:docPr id="179468349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l="195" r="195"/>
                          <a:stretch>
                            <a:fillRect/>
                          </a:stretch>
                        </pic:blipFill>
                        <pic:spPr>
                          <a:xfrm>
                            <a:off x="0" y="0"/>
                            <a:ext cx="668655" cy="234950"/>
                          </a:xfrm>
                          <a:prstGeom prst="rect">
                            <a:avLst/>
                          </a:prstGeom>
                          <a:ln/>
                        </pic:spPr>
                      </pic:pic>
                    </a:graphicData>
                  </a:graphic>
                </wp:anchor>
              </w:drawing>
            </w:r>
          </w:p>
        </w:tc>
        <w:tc>
          <w:tcPr>
            <w:tcW w:w="6375" w:type="dxa"/>
            <w:tcBorders>
              <w:top w:val="single" w:sz="4" w:space="0" w:color="000000"/>
              <w:left w:val="nil"/>
              <w:bottom w:val="single" w:sz="4" w:space="0" w:color="000000"/>
              <w:right w:val="nil"/>
            </w:tcBorders>
          </w:tcPr>
          <w:p w14:paraId="0EA38140" w14:textId="610B458F" w:rsidR="002343A9" w:rsidRDefault="00000000">
            <w:pPr>
              <w:widowControl/>
              <w:tabs>
                <w:tab w:val="center" w:pos="4706"/>
                <w:tab w:val="right" w:pos="9356"/>
              </w:tabs>
              <w:ind w:left="1020" w:right="-109"/>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color w:val="000000"/>
                <w:szCs w:val="16"/>
              </w:rPr>
            </w:pPr>
            <w:r>
              <w:t>©</w:t>
            </w:r>
            <w:r w:rsidR="00FD4F17">
              <w:t xml:space="preserve"> 2026 </w:t>
            </w:r>
            <w:r>
              <w:t>by the authors. Submitted for possible open access publication under the terms and conditions of the Creative Commons Attribution 4.0 International License (CC BY 4.0)</w:t>
            </w:r>
          </w:p>
        </w:tc>
      </w:tr>
    </w:tbl>
    <w:p w14:paraId="38645381" w14:textId="74AFB271" w:rsidR="002343A9" w:rsidRDefault="006578BD" w:rsidP="006578BD">
      <w:pPr>
        <w:spacing w:before="240" w:after="120" w:line="240" w:lineRule="auto"/>
        <w:rPr>
          <w:b/>
          <w:sz w:val="24"/>
          <w:szCs w:val="24"/>
        </w:rPr>
      </w:pPr>
      <w:r>
        <w:rPr>
          <w:b/>
          <w:sz w:val="24"/>
          <w:szCs w:val="24"/>
        </w:rPr>
        <w:t>INTRODUCTION</w:t>
      </w:r>
    </w:p>
    <w:p w14:paraId="20FE084A" w14:textId="11435F94" w:rsidR="00B9285F" w:rsidRDefault="00B9285F" w:rsidP="00B9285F">
      <w:pPr>
        <w:ind w:firstLine="720"/>
        <w:jc w:val="both"/>
        <w:rPr>
          <w:sz w:val="22"/>
          <w:szCs w:val="22"/>
        </w:rPr>
      </w:pPr>
      <w:r w:rsidRPr="00B9285F">
        <w:rPr>
          <w:sz w:val="22"/>
          <w:szCs w:val="22"/>
        </w:rPr>
        <w:t xml:space="preserve">Non-communicable diseases are one of the biggest public health challenges because they contribute to the high rates of mortality, disability, and health care financing in various countries. Cardiovascular disease, cancer, diabetes mellitus, chronic kidney disease, and metabolic disorders are closely related to unbalanced </w:t>
      </w:r>
      <w:r w:rsidR="00B230FA">
        <w:rPr>
          <w:sz w:val="22"/>
          <w:szCs w:val="22"/>
        </w:rPr>
        <w:t>dietary patterns, high intake of sugar, salt, and fat, and low intake</w:t>
      </w:r>
      <w:r w:rsidRPr="00B9285F">
        <w:rPr>
          <w:sz w:val="22"/>
          <w:szCs w:val="22"/>
        </w:rPr>
        <w:t xml:space="preserve"> of fruits, vegetables, whole grains, and </w:t>
      </w:r>
      <w:proofErr w:type="spellStart"/>
      <w:r w:rsidRPr="00B9285F">
        <w:rPr>
          <w:sz w:val="22"/>
          <w:szCs w:val="22"/>
        </w:rPr>
        <w:t>fiber</w:t>
      </w:r>
      <w:proofErr w:type="spellEnd"/>
      <w:r w:rsidRPr="00B9285F">
        <w:rPr>
          <w:sz w:val="22"/>
          <w:szCs w:val="22"/>
        </w:rPr>
        <w:t xml:space="preserve">. In 2021, non-communicable diseases are estimated to cause approximately 43.8 million deaths globally, while dietary risk contributes approximately 10% to the burden of </w:t>
      </w:r>
      <w:r w:rsidRPr="00B9285F">
        <w:rPr>
          <w:i/>
          <w:iCs/>
          <w:sz w:val="22"/>
          <w:szCs w:val="22"/>
        </w:rPr>
        <w:t>disability-adjusted life years</w:t>
      </w:r>
      <w:r w:rsidRPr="00B9285F">
        <w:rPr>
          <w:sz w:val="22"/>
          <w:szCs w:val="22"/>
        </w:rPr>
        <w:t xml:space="preserve">. These conditions suggest that dietary improvements </w:t>
      </w:r>
      <w:r w:rsidR="00AA7DE5">
        <w:rPr>
          <w:sz w:val="22"/>
          <w:szCs w:val="22"/>
        </w:rPr>
        <w:t xml:space="preserve">should be </w:t>
      </w:r>
      <w:r w:rsidR="00AA7DE5">
        <w:rPr>
          <w:sz w:val="22"/>
          <w:szCs w:val="22"/>
        </w:rPr>
        <w:lastRenderedPageBreak/>
        <w:t>a major component</w:t>
      </w:r>
      <w:r w:rsidRPr="00B9285F">
        <w:rPr>
          <w:sz w:val="22"/>
          <w:szCs w:val="22"/>
        </w:rPr>
        <w:t xml:space="preserve"> of non-communicable disease prevention strategies (Li et al., 2025).</w:t>
      </w:r>
    </w:p>
    <w:p w14:paraId="38E688DB" w14:textId="37BC0E18" w:rsidR="00B9285F" w:rsidRDefault="00B9285F" w:rsidP="00B9285F">
      <w:pPr>
        <w:ind w:firstLine="720"/>
        <w:jc w:val="both"/>
        <w:rPr>
          <w:sz w:val="22"/>
          <w:szCs w:val="22"/>
        </w:rPr>
      </w:pPr>
      <w:r w:rsidRPr="00B9285F">
        <w:rPr>
          <w:sz w:val="22"/>
          <w:szCs w:val="22"/>
        </w:rPr>
        <w:t xml:space="preserve">Although balanced nutrition guidelines have been widely developed, general dietary recommendations have not </w:t>
      </w:r>
      <w:r w:rsidR="00AA7DE5">
        <w:rPr>
          <w:sz w:val="22"/>
          <w:szCs w:val="22"/>
        </w:rPr>
        <w:t>fully accommodated individuals'</w:t>
      </w:r>
      <w:r w:rsidRPr="00B9285F">
        <w:rPr>
          <w:sz w:val="22"/>
          <w:szCs w:val="22"/>
        </w:rPr>
        <w:t xml:space="preserve"> different responses to food. A person's metabolic response is influenced by age, gender, body composition, health condition, physical activity, eating habits, genetic factors, metabolomics, gut microbiota, social environment, and economic ability. Individuals who consume the same type and amount of food may exhibit different </w:t>
      </w:r>
      <w:r w:rsidR="00EF630F">
        <w:rPr>
          <w:sz w:val="22"/>
          <w:szCs w:val="22"/>
        </w:rPr>
        <w:t>responses in glucose, lipids, blood pressure, and weight</w:t>
      </w:r>
      <w:r w:rsidRPr="00B9285F">
        <w:rPr>
          <w:sz w:val="22"/>
          <w:szCs w:val="22"/>
        </w:rPr>
        <w:t xml:space="preserve">. This phenomenon is driving a shift in approach from population-based nutrition recommendations towards </w:t>
      </w:r>
      <w:r w:rsidRPr="00B9285F">
        <w:rPr>
          <w:i/>
          <w:iCs/>
          <w:sz w:val="22"/>
          <w:szCs w:val="22"/>
        </w:rPr>
        <w:t>precision nutrition</w:t>
      </w:r>
      <w:r w:rsidRPr="00B9285F">
        <w:rPr>
          <w:sz w:val="22"/>
          <w:szCs w:val="22"/>
        </w:rPr>
        <w:t xml:space="preserve"> and personalized nutrition that takes into account individual biological characteristics as well as </w:t>
      </w:r>
      <w:proofErr w:type="spellStart"/>
      <w:r w:rsidRPr="00B9285F">
        <w:rPr>
          <w:sz w:val="22"/>
          <w:szCs w:val="22"/>
        </w:rPr>
        <w:t>behaviors</w:t>
      </w:r>
      <w:proofErr w:type="spellEnd"/>
      <w:r w:rsidRPr="00B9285F">
        <w:rPr>
          <w:sz w:val="22"/>
          <w:szCs w:val="22"/>
        </w:rPr>
        <w:t xml:space="preserve"> (Kirk et al., 2021; Ferrario &amp; Gedrich, 2024).</w:t>
      </w:r>
    </w:p>
    <w:p w14:paraId="58857984" w14:textId="77777777" w:rsidR="00EF630F" w:rsidRDefault="00B9285F" w:rsidP="00EF630F">
      <w:pPr>
        <w:ind w:firstLine="720"/>
        <w:jc w:val="both"/>
        <w:rPr>
          <w:sz w:val="22"/>
          <w:szCs w:val="22"/>
        </w:rPr>
      </w:pPr>
      <w:r w:rsidRPr="00B9285F">
        <w:rPr>
          <w:sz w:val="22"/>
          <w:szCs w:val="22"/>
        </w:rPr>
        <w:t>The development</w:t>
      </w:r>
      <w:r w:rsidRPr="00B9285F">
        <w:rPr>
          <w:i/>
          <w:iCs/>
          <w:sz w:val="22"/>
          <w:szCs w:val="22"/>
        </w:rPr>
        <w:t xml:space="preserve"> of artificial intelligence</w:t>
      </w:r>
      <w:r w:rsidRPr="00B9285F">
        <w:rPr>
          <w:sz w:val="22"/>
          <w:szCs w:val="22"/>
        </w:rPr>
        <w:t xml:space="preserve"> offers opportunities to support such transformation </w:t>
      </w:r>
      <w:r w:rsidR="00EF630F">
        <w:rPr>
          <w:sz w:val="22"/>
          <w:szCs w:val="22"/>
        </w:rPr>
        <w:t>by enabling the processing of</w:t>
      </w:r>
      <w:r w:rsidRPr="00B9285F">
        <w:rPr>
          <w:sz w:val="22"/>
          <w:szCs w:val="22"/>
        </w:rPr>
        <w:t xml:space="preserve"> large, diverse, and complex amounts of nutrition and health data. Technologies such as </w:t>
      </w:r>
      <w:r w:rsidRPr="00B9285F">
        <w:rPr>
          <w:i/>
          <w:iCs/>
          <w:sz w:val="22"/>
          <w:szCs w:val="22"/>
        </w:rPr>
        <w:t>machine learning</w:t>
      </w:r>
      <w:r w:rsidRPr="00B9285F">
        <w:rPr>
          <w:sz w:val="22"/>
          <w:szCs w:val="22"/>
        </w:rPr>
        <w:t xml:space="preserve">, </w:t>
      </w:r>
      <w:r w:rsidRPr="00B9285F">
        <w:rPr>
          <w:i/>
          <w:iCs/>
          <w:sz w:val="22"/>
          <w:szCs w:val="22"/>
        </w:rPr>
        <w:t>deep learning</w:t>
      </w:r>
      <w:r w:rsidRPr="00B9285F">
        <w:rPr>
          <w:sz w:val="22"/>
          <w:szCs w:val="22"/>
        </w:rPr>
        <w:t xml:space="preserve">, </w:t>
      </w:r>
      <w:r w:rsidRPr="00B9285F">
        <w:rPr>
          <w:i/>
          <w:iCs/>
          <w:sz w:val="22"/>
          <w:szCs w:val="22"/>
        </w:rPr>
        <w:t>computer vision</w:t>
      </w:r>
      <w:r w:rsidRPr="00B9285F">
        <w:rPr>
          <w:sz w:val="22"/>
          <w:szCs w:val="22"/>
        </w:rPr>
        <w:t xml:space="preserve">, </w:t>
      </w:r>
      <w:r w:rsidRPr="00B9285F">
        <w:rPr>
          <w:i/>
          <w:iCs/>
          <w:sz w:val="22"/>
          <w:szCs w:val="22"/>
        </w:rPr>
        <w:t>natural language processing</w:t>
      </w:r>
      <w:r w:rsidRPr="00B9285F">
        <w:rPr>
          <w:sz w:val="22"/>
          <w:szCs w:val="22"/>
        </w:rPr>
        <w:t xml:space="preserve">, and recommendation systems can be used to identify patterns of relationships between food consumption, individual characteristics, and disease risk. Artificial intelligence also </w:t>
      </w:r>
      <w:r w:rsidR="00EF630F">
        <w:rPr>
          <w:sz w:val="22"/>
          <w:szCs w:val="22"/>
        </w:rPr>
        <w:t>enables the integration of anthropometric data, medical records, biomarkers, genetic data, microbiome data</w:t>
      </w:r>
      <w:r w:rsidRPr="00B9285F">
        <w:rPr>
          <w:sz w:val="22"/>
          <w:szCs w:val="22"/>
        </w:rPr>
        <w:t xml:space="preserve">, physical activity, sleep patterns, and data from </w:t>
      </w:r>
      <w:r w:rsidRPr="00B9285F">
        <w:rPr>
          <w:i/>
          <w:iCs/>
          <w:sz w:val="22"/>
          <w:szCs w:val="22"/>
        </w:rPr>
        <w:t>wearable</w:t>
      </w:r>
      <w:r w:rsidRPr="00B9285F">
        <w:rPr>
          <w:sz w:val="22"/>
          <w:szCs w:val="22"/>
        </w:rPr>
        <w:t xml:space="preserve"> devices. Such integration can help produce more adaptive dietary recommendations </w:t>
      </w:r>
      <w:r w:rsidR="00EF630F">
        <w:rPr>
          <w:sz w:val="22"/>
          <w:szCs w:val="22"/>
        </w:rPr>
        <w:t xml:space="preserve">than conventional approaches </w:t>
      </w:r>
      <w:r w:rsidRPr="00B9285F">
        <w:rPr>
          <w:sz w:val="22"/>
          <w:szCs w:val="22"/>
        </w:rPr>
        <w:t>based solely on average energy and nutrient requirements (Kirk et al., 2022; Sosa-Holwerda et al., 2024).</w:t>
      </w:r>
    </w:p>
    <w:p w14:paraId="0F567C49" w14:textId="6897EF10" w:rsidR="00EF630F" w:rsidRDefault="00B9285F" w:rsidP="00EF630F">
      <w:pPr>
        <w:ind w:firstLine="720"/>
        <w:jc w:val="both"/>
        <w:rPr>
          <w:sz w:val="22"/>
          <w:szCs w:val="22"/>
        </w:rPr>
      </w:pPr>
      <w:r w:rsidRPr="00B9285F">
        <w:rPr>
          <w:sz w:val="22"/>
          <w:szCs w:val="22"/>
        </w:rPr>
        <w:t xml:space="preserve">The use of artificial intelligence in </w:t>
      </w:r>
      <w:r w:rsidR="00C262C6">
        <w:rPr>
          <w:sz w:val="22"/>
          <w:szCs w:val="22"/>
        </w:rPr>
        <w:t xml:space="preserve">nutrition has advanced the assessment of food consumption, the identification of food types, the estimation of portion sizes, the calculation of nutrient content, the planning of menus, and the monitoring of </w:t>
      </w:r>
      <w:r w:rsidRPr="00B9285F">
        <w:rPr>
          <w:sz w:val="22"/>
          <w:szCs w:val="22"/>
        </w:rPr>
        <w:t xml:space="preserve">dietary adherence. Image-based systems can identify food </w:t>
      </w:r>
      <w:r w:rsidR="00EF630F">
        <w:rPr>
          <w:sz w:val="22"/>
          <w:szCs w:val="22"/>
        </w:rPr>
        <w:t>from photos, while sensors and wearable devices can detect chewing activity and the timing</w:t>
      </w:r>
      <w:r w:rsidRPr="00B9285F">
        <w:rPr>
          <w:sz w:val="22"/>
          <w:szCs w:val="22"/>
        </w:rPr>
        <w:t xml:space="preserve"> of food consumption. Zheng et al. (2024) found that AI technology has the potential to reduce memory errors and reporting bias </w:t>
      </w:r>
      <w:r w:rsidR="00EF630F">
        <w:rPr>
          <w:sz w:val="22"/>
          <w:szCs w:val="22"/>
        </w:rPr>
        <w:t>in traditional consumption assessment methods</w:t>
      </w:r>
      <w:r w:rsidR="00AA7DE5">
        <w:rPr>
          <w:sz w:val="22"/>
          <w:szCs w:val="22"/>
        </w:rPr>
        <w:t>. However,</w:t>
      </w:r>
      <w:r w:rsidR="00EF630F">
        <w:rPr>
          <w:sz w:val="22"/>
          <w:szCs w:val="22"/>
        </w:rPr>
        <w:t xml:space="preserve"> accuracy still varies by food type and data quality</w:t>
      </w:r>
      <w:r w:rsidRPr="00B9285F">
        <w:rPr>
          <w:sz w:val="22"/>
          <w:szCs w:val="22"/>
        </w:rPr>
        <w:t xml:space="preserve">. Preliminary evidence also suggests that AI-based dietary recommendations </w:t>
      </w:r>
      <w:r w:rsidR="00EF630F">
        <w:rPr>
          <w:sz w:val="22"/>
          <w:szCs w:val="22"/>
        </w:rPr>
        <w:t>may support the management of diabetes, obesity, and metabolic disorders, but clinical outcomes have not been consistent across populations</w:t>
      </w:r>
      <w:r w:rsidRPr="00B9285F">
        <w:rPr>
          <w:sz w:val="22"/>
          <w:szCs w:val="22"/>
        </w:rPr>
        <w:t xml:space="preserve"> (Wang et al., 2025).</w:t>
      </w:r>
    </w:p>
    <w:p w14:paraId="6E0D35EF" w14:textId="737730E9" w:rsidR="00B9285F" w:rsidRPr="00B9285F" w:rsidRDefault="00B9285F" w:rsidP="00EF630F">
      <w:pPr>
        <w:ind w:firstLine="720"/>
        <w:jc w:val="both"/>
        <w:rPr>
          <w:sz w:val="22"/>
          <w:szCs w:val="22"/>
        </w:rPr>
      </w:pPr>
      <w:r w:rsidRPr="00B9285F">
        <w:rPr>
          <w:sz w:val="22"/>
          <w:szCs w:val="22"/>
        </w:rPr>
        <w:t xml:space="preserve">The research problem arises because AI's technical ability </w:t>
      </w:r>
      <w:r w:rsidR="00C262C6">
        <w:rPr>
          <w:sz w:val="22"/>
          <w:szCs w:val="22"/>
        </w:rPr>
        <w:t>to generate recommendations has not always been matched</w:t>
      </w:r>
      <w:r w:rsidRPr="00B9285F">
        <w:rPr>
          <w:sz w:val="22"/>
          <w:szCs w:val="22"/>
        </w:rPr>
        <w:t xml:space="preserve"> by adequate clinical validity, safety, and nutritional accuracy. Algorithms trained using limited data can fail to recognize the local foods, processing methods, portion sizes, and consumption cultures of different populations. Data imbalances can also lead to algorithmic biases</w:t>
      </w:r>
      <w:r w:rsidR="00EF630F">
        <w:rPr>
          <w:sz w:val="22"/>
          <w:szCs w:val="22"/>
        </w:rPr>
        <w:t>, resulting in recommendations that are more accurate for certain groups</w:t>
      </w:r>
      <w:r w:rsidRPr="00B9285F">
        <w:rPr>
          <w:sz w:val="22"/>
          <w:szCs w:val="22"/>
        </w:rPr>
        <w:t xml:space="preserve"> but less appropriate for minority groups or developing countries. In addition, there are still issues regarding model transparency, health data protection, basic clarity of recommendations, involvement of nutritionists, and the risk of users following AI advice without professional supervision (Sosa-Holwerda et al., 2024; Zheng et al., 2024).</w:t>
      </w:r>
    </w:p>
    <w:p w14:paraId="0F2BE885" w14:textId="531A108C" w:rsidR="00EF630F" w:rsidRDefault="00B9285F" w:rsidP="00B9285F">
      <w:pPr>
        <w:jc w:val="both"/>
        <w:rPr>
          <w:sz w:val="22"/>
          <w:szCs w:val="22"/>
        </w:rPr>
      </w:pPr>
      <w:r w:rsidRPr="00B9285F">
        <w:rPr>
          <w:sz w:val="22"/>
          <w:szCs w:val="22"/>
        </w:rPr>
        <w:t xml:space="preserve">The research gap in this study lies in the fragmented evidence </w:t>
      </w:r>
      <w:r w:rsidR="00EF630F">
        <w:rPr>
          <w:sz w:val="22"/>
          <w:szCs w:val="22"/>
        </w:rPr>
        <w:t xml:space="preserve">regarding AI's contribution </w:t>
      </w:r>
      <w:r w:rsidRPr="00B9285F">
        <w:rPr>
          <w:sz w:val="22"/>
          <w:szCs w:val="22"/>
        </w:rPr>
        <w:t xml:space="preserve">to the accuracy of personalized nutrition recommendations for the prevention of non-communicable diseases. </w:t>
      </w:r>
      <w:r w:rsidR="00AA7DE5">
        <w:rPr>
          <w:sz w:val="22"/>
          <w:szCs w:val="22"/>
        </w:rPr>
        <w:t>Several</w:t>
      </w:r>
      <w:r w:rsidRPr="00B9285F">
        <w:rPr>
          <w:sz w:val="22"/>
          <w:szCs w:val="22"/>
        </w:rPr>
        <w:t xml:space="preserve"> previous studies have focused </w:t>
      </w:r>
      <w:r w:rsidR="00EF630F">
        <w:rPr>
          <w:sz w:val="22"/>
          <w:szCs w:val="22"/>
        </w:rPr>
        <w:t>on the use of AI for food consumption assessment, image classification, disease prediction, and</w:t>
      </w:r>
      <w:r w:rsidRPr="00B9285F">
        <w:rPr>
          <w:sz w:val="22"/>
          <w:szCs w:val="22"/>
        </w:rPr>
        <w:t xml:space="preserve"> </w:t>
      </w:r>
      <w:r w:rsidR="00C262C6">
        <w:rPr>
          <w:sz w:val="22"/>
          <w:szCs w:val="22"/>
        </w:rPr>
        <w:t>general nutritional applications</w:t>
      </w:r>
      <w:r w:rsidRPr="00B9285F">
        <w:rPr>
          <w:sz w:val="22"/>
          <w:szCs w:val="22"/>
        </w:rPr>
        <w:t xml:space="preserve">. The available studies have not fully integrated the types of personal data used, algorithmic models, indicators of recommendation accuracy, clinical outcomes, population diversity, </w:t>
      </w:r>
      <w:r w:rsidR="00EF630F">
        <w:rPr>
          <w:sz w:val="22"/>
          <w:szCs w:val="22"/>
        </w:rPr>
        <w:t>and ethical aspects into a single</w:t>
      </w:r>
      <w:r w:rsidRPr="00B9285F">
        <w:rPr>
          <w:sz w:val="22"/>
          <w:szCs w:val="22"/>
        </w:rPr>
        <w:t xml:space="preserve"> analytical framework. In addition, some studies </w:t>
      </w:r>
      <w:r w:rsidR="00EF630F">
        <w:rPr>
          <w:sz w:val="22"/>
          <w:szCs w:val="22"/>
        </w:rPr>
        <w:t>remain descriptive, use limited samples, have short intervention periods</w:t>
      </w:r>
      <w:r w:rsidRPr="00B9285F">
        <w:rPr>
          <w:sz w:val="22"/>
          <w:szCs w:val="22"/>
        </w:rPr>
        <w:t>, and have not conducted external validation in populations with different social and cultural characteristics (Ferrario &amp; Gedrich, 2024; Wu et al., 2025).</w:t>
      </w:r>
    </w:p>
    <w:p w14:paraId="0296021C" w14:textId="3C77BF1B" w:rsidR="002343A9" w:rsidRPr="00C13E95" w:rsidRDefault="00B9285F" w:rsidP="00C13E95">
      <w:pPr>
        <w:ind w:firstLine="720"/>
        <w:jc w:val="both"/>
        <w:rPr>
          <w:sz w:val="22"/>
          <w:szCs w:val="22"/>
        </w:rPr>
      </w:pPr>
      <w:r w:rsidRPr="00B9285F">
        <w:rPr>
          <w:sz w:val="22"/>
          <w:szCs w:val="22"/>
        </w:rPr>
        <w:t xml:space="preserve">The novelty or </w:t>
      </w:r>
      <w:r w:rsidRPr="00B9285F">
        <w:rPr>
          <w:i/>
          <w:iCs/>
          <w:sz w:val="22"/>
          <w:szCs w:val="22"/>
        </w:rPr>
        <w:t>incremental newness</w:t>
      </w:r>
      <w:r w:rsidRPr="00B9285F">
        <w:rPr>
          <w:sz w:val="22"/>
          <w:szCs w:val="22"/>
        </w:rPr>
        <w:t xml:space="preserve"> of this research is the preparation of a systematic synthesis that specifically connects artificial intelligence technology, the accuracy of personal nutrition recommendations, and the prevention of non-communicable diseases. This study not only maps the types of algorithms used but also compares personal data sources, validation methods, accuracy levels, adaptability of recommendations, changes in eating </w:t>
      </w:r>
      <w:proofErr w:type="spellStart"/>
      <w:r w:rsidRPr="00B9285F">
        <w:rPr>
          <w:sz w:val="22"/>
          <w:szCs w:val="22"/>
        </w:rPr>
        <w:t>behavior</w:t>
      </w:r>
      <w:proofErr w:type="spellEnd"/>
      <w:r w:rsidRPr="00B9285F">
        <w:rPr>
          <w:sz w:val="22"/>
          <w:szCs w:val="22"/>
        </w:rPr>
        <w:t xml:space="preserve">, and their impact on disease risk indicators. This research also includes aspects of population representation, algorithmic justice, system transparency, data security, involvement of nutritionists, and the suitability of recommendations with food culture. This approach is expected to complement previous studies that </w:t>
      </w:r>
      <w:r w:rsidR="00AA7DE5">
        <w:rPr>
          <w:sz w:val="22"/>
          <w:szCs w:val="22"/>
        </w:rPr>
        <w:t>continue to focus on the technical functions of AI or on a</w:t>
      </w:r>
      <w:r w:rsidRPr="00B9285F">
        <w:rPr>
          <w:sz w:val="22"/>
          <w:szCs w:val="22"/>
        </w:rPr>
        <w:t xml:space="preserve"> specific type of nutritional application (Wu et al., 2025; Wang et al., 2025).</w:t>
      </w:r>
      <w:r w:rsidR="00C13E95">
        <w:rPr>
          <w:sz w:val="22"/>
          <w:szCs w:val="22"/>
        </w:rPr>
        <w:t xml:space="preserve"> </w:t>
      </w:r>
      <w:r w:rsidRPr="00B9285F">
        <w:rPr>
          <w:sz w:val="22"/>
          <w:szCs w:val="22"/>
        </w:rPr>
        <w:t xml:space="preserve">This research is important because the use of health apps, chatbots, </w:t>
      </w:r>
      <w:r w:rsidRPr="00B9285F">
        <w:rPr>
          <w:i/>
          <w:iCs/>
          <w:sz w:val="22"/>
          <w:szCs w:val="22"/>
        </w:rPr>
        <w:t>wearables</w:t>
      </w:r>
      <w:r w:rsidRPr="00B9285F">
        <w:rPr>
          <w:sz w:val="22"/>
          <w:szCs w:val="22"/>
        </w:rPr>
        <w:t xml:space="preserve">, and AI-based food recommendation platforms is becoming more widespread, while scientific standards for assessing safety and accuracy are still evolving. Without systematic evaluation, seemingly personalized recommendations can </w:t>
      </w:r>
      <w:r w:rsidR="00AA7DE5">
        <w:rPr>
          <w:sz w:val="22"/>
          <w:szCs w:val="22"/>
        </w:rPr>
        <w:t>lead to inaccurate intake of energy, macronutrients, micronutrients, or other dietary components, thereby risking</w:t>
      </w:r>
      <w:r w:rsidRPr="00B9285F">
        <w:rPr>
          <w:sz w:val="22"/>
          <w:szCs w:val="22"/>
        </w:rPr>
        <w:t xml:space="preserve"> worsening health conditions. Therefore, this systematic review aims to </w:t>
      </w:r>
      <w:proofErr w:type="spellStart"/>
      <w:r w:rsidRPr="00B9285F">
        <w:rPr>
          <w:sz w:val="22"/>
          <w:szCs w:val="22"/>
        </w:rPr>
        <w:t>analyze</w:t>
      </w:r>
      <w:proofErr w:type="spellEnd"/>
      <w:r w:rsidRPr="00B9285F">
        <w:rPr>
          <w:sz w:val="22"/>
          <w:szCs w:val="22"/>
        </w:rPr>
        <w:t xml:space="preserve"> the use of artificial intelligence in improving the accuracy of personalized nutrition recommendations for the prevention of non-communicable diseases, identify their effectiveness and limitations, and formulate a direction for the development of systems that are accurate, transparent, fair, safe, and applicable in evidence-based nutrition services (Li et al., 2025; Sosa-Holwerda et al., 2024)</w:t>
      </w:r>
      <w:r w:rsidR="006578BD" w:rsidRPr="00B9285F">
        <w:rPr>
          <w:rFonts w:eastAsia="Times New Roman"/>
          <w:color w:val="000000"/>
          <w:sz w:val="22"/>
          <w:szCs w:val="22"/>
        </w:rPr>
        <w:t>.</w:t>
      </w:r>
    </w:p>
    <w:p w14:paraId="4FDB94DB" w14:textId="3B8A74CD" w:rsidR="002343A9" w:rsidRDefault="006578BD" w:rsidP="006578BD">
      <w:pPr>
        <w:spacing w:before="240" w:after="120" w:line="240" w:lineRule="auto"/>
        <w:rPr>
          <w:b/>
          <w:sz w:val="24"/>
          <w:szCs w:val="24"/>
        </w:rPr>
      </w:pPr>
      <w:r>
        <w:rPr>
          <w:b/>
          <w:sz w:val="24"/>
          <w:szCs w:val="24"/>
        </w:rPr>
        <w:t>METHOD</w:t>
      </w:r>
    </w:p>
    <w:p w14:paraId="2F5654A1" w14:textId="1F8FB975" w:rsidR="00621574" w:rsidRPr="00FC7F98" w:rsidRDefault="00621574" w:rsidP="00621574">
      <w:pPr>
        <w:ind w:firstLine="720"/>
        <w:jc w:val="both"/>
        <w:rPr>
          <w:sz w:val="22"/>
          <w:szCs w:val="22"/>
        </w:rPr>
      </w:pPr>
      <w:r>
        <w:rPr>
          <w:sz w:val="22"/>
          <w:szCs w:val="22"/>
        </w:rPr>
        <w:t>This</w:t>
      </w:r>
      <w:r w:rsidRPr="00FC7F98">
        <w:rPr>
          <w:sz w:val="22"/>
          <w:szCs w:val="22"/>
        </w:rPr>
        <w:t xml:space="preserve"> study uses a </w:t>
      </w:r>
      <w:r w:rsidRPr="00FC7F98">
        <w:rPr>
          <w:i/>
          <w:iCs/>
          <w:sz w:val="22"/>
          <w:szCs w:val="22"/>
        </w:rPr>
        <w:t>systematic literature review</w:t>
      </w:r>
      <w:r w:rsidRPr="00FC7F98">
        <w:rPr>
          <w:sz w:val="22"/>
          <w:szCs w:val="22"/>
        </w:rPr>
        <w:t xml:space="preserve"> </w:t>
      </w:r>
      <w:r>
        <w:rPr>
          <w:sz w:val="22"/>
          <w:szCs w:val="22"/>
        </w:rPr>
        <w:t>to identify, evaluate, and synthesize scientific evidence on the use of artificial intelligence to improve</w:t>
      </w:r>
      <w:r w:rsidRPr="00FC7F98">
        <w:rPr>
          <w:sz w:val="22"/>
          <w:szCs w:val="22"/>
        </w:rPr>
        <w:t xml:space="preserve"> the accuracy of personal nutrition recommendations for the prevention of non-communicable diseases. The study process follows the guidelines of Preferred Reporting Items for Systematic Reviews and Meta-Analyses 2020 (PRISMA 2020) so that searching, filtering, and reporting articles are carried out systematically and transparently (Page et al., 2021). Articles were searched </w:t>
      </w:r>
      <w:r w:rsidR="0036147A">
        <w:rPr>
          <w:sz w:val="22"/>
          <w:szCs w:val="22"/>
        </w:rPr>
        <w:t xml:space="preserve">in the Scopus, PubMed, Web of Science, and ScienceDirect databases with a publication date </w:t>
      </w:r>
      <w:r w:rsidRPr="00FC7F98">
        <w:rPr>
          <w:sz w:val="22"/>
          <w:szCs w:val="22"/>
        </w:rPr>
        <w:t>range of January 2021</w:t>
      </w:r>
      <w:r>
        <w:rPr>
          <w:sz w:val="22"/>
          <w:szCs w:val="22"/>
        </w:rPr>
        <w:t xml:space="preserve"> to </w:t>
      </w:r>
      <w:r w:rsidRPr="00FC7F98">
        <w:rPr>
          <w:sz w:val="22"/>
          <w:szCs w:val="22"/>
        </w:rPr>
        <w:t xml:space="preserve">July 2026. The search strategy uses a combination of keywords and Boolean operators, namely: ("artificial intelligence" OR "machine learning" OR "deep learning" OR "AI-based nutrition") AND ("personalized nutrition" OR "precision nutrition" OR "personalized dietary recommendation") AND ("non-communicable diseases" OR "diabetes" OR "obesity" OR "cardiovascular disease" OR "metabolic syndrome"). All search strategies are documented </w:t>
      </w:r>
      <w:r>
        <w:rPr>
          <w:sz w:val="22"/>
          <w:szCs w:val="22"/>
        </w:rPr>
        <w:t>in accordance with the PRISMA-S principles</w:t>
      </w:r>
      <w:r w:rsidRPr="00FC7F98">
        <w:rPr>
          <w:sz w:val="22"/>
          <w:szCs w:val="22"/>
        </w:rPr>
        <w:t xml:space="preserve"> to improve the repeatability and transparency of literature searches (</w:t>
      </w:r>
      <w:proofErr w:type="spellStart"/>
      <w:r w:rsidRPr="00FC7F98">
        <w:rPr>
          <w:sz w:val="22"/>
          <w:szCs w:val="22"/>
        </w:rPr>
        <w:t>Rethlefsen</w:t>
      </w:r>
      <w:proofErr w:type="spellEnd"/>
      <w:r w:rsidRPr="00FC7F98">
        <w:rPr>
          <w:sz w:val="22"/>
          <w:szCs w:val="22"/>
        </w:rPr>
        <w:t xml:space="preserve"> et al., 2021).</w:t>
      </w:r>
    </w:p>
    <w:p w14:paraId="35EA879A" w14:textId="35605304" w:rsidR="009776BF" w:rsidRPr="00621574" w:rsidRDefault="00621574" w:rsidP="00621574">
      <w:pPr>
        <w:ind w:firstLine="720"/>
        <w:jc w:val="both"/>
        <w:rPr>
          <w:color w:val="FF0000"/>
          <w:sz w:val="22"/>
          <w:szCs w:val="22"/>
        </w:rPr>
      </w:pPr>
      <w:r w:rsidRPr="00FC7F98">
        <w:rPr>
          <w:sz w:val="22"/>
          <w:szCs w:val="22"/>
        </w:rPr>
        <w:t xml:space="preserve">Inclusion criteria include original research articles published in reputable scientific journals, available in full text, using English or Indonesian, discussing the use of AI in the preparation or evaluation of personal nutrition recommendations, as well as reporting indicators of recommendation accuracy, changes in eating </w:t>
      </w:r>
      <w:proofErr w:type="spellStart"/>
      <w:r w:rsidRPr="00FC7F98">
        <w:rPr>
          <w:sz w:val="22"/>
          <w:szCs w:val="22"/>
        </w:rPr>
        <w:t>behavior</w:t>
      </w:r>
      <w:proofErr w:type="spellEnd"/>
      <w:r w:rsidRPr="00FC7F98">
        <w:rPr>
          <w:sz w:val="22"/>
          <w:szCs w:val="22"/>
        </w:rPr>
        <w:t xml:space="preserve">, nutritional status, or non-communicable disease risk factors. Articles in the form of editorials, opinions, proceedings, books, conference abstracts, duplicate articles, non-human research, and research that are not directly related to personal nutrition recommendations were excluded from the study. The articles found were managed using Mendeley, then selected through an examination of titles, abstracts, and full text by two independent reviewers. The methodological quality of each article was assessed using </w:t>
      </w:r>
      <w:r w:rsidRPr="00FC7F98">
        <w:rPr>
          <w:i/>
          <w:iCs/>
          <w:sz w:val="22"/>
          <w:szCs w:val="22"/>
        </w:rPr>
        <w:t xml:space="preserve">critical appraisal instruments </w:t>
      </w:r>
      <w:r w:rsidRPr="00FC7F98">
        <w:rPr>
          <w:sz w:val="22"/>
          <w:szCs w:val="22"/>
        </w:rPr>
        <w:t xml:space="preserve">from the Joanna Briggs Institute, while the extracted data included authors, year, country, research design, respondent characteristics, type of AI algorithm, personal data source, form of nutritional recommendations, accuracy level, health outcomes, and research limitations. The data </w:t>
      </w:r>
      <w:r w:rsidR="00DB4122">
        <w:rPr>
          <w:sz w:val="22"/>
          <w:szCs w:val="22"/>
        </w:rPr>
        <w:t xml:space="preserve">were then </w:t>
      </w:r>
      <w:proofErr w:type="spellStart"/>
      <w:r w:rsidR="00DB4122">
        <w:rPr>
          <w:sz w:val="22"/>
          <w:szCs w:val="22"/>
        </w:rPr>
        <w:t>analyzed</w:t>
      </w:r>
      <w:proofErr w:type="spellEnd"/>
      <w:r w:rsidR="00DB4122">
        <w:rPr>
          <w:sz w:val="22"/>
          <w:szCs w:val="22"/>
        </w:rPr>
        <w:t xml:space="preserve"> using narrative synthesis and thematic analysis to identify patterns in findings, technological effectiveness, research gaps, and opportunities for developing a personalized nutrition recommendation system that is accurate, transparent, safe, and aligned</w:t>
      </w:r>
      <w:r w:rsidRPr="00FC7F98">
        <w:rPr>
          <w:sz w:val="22"/>
          <w:szCs w:val="22"/>
        </w:rPr>
        <w:t xml:space="preserve"> with user characteristics</w:t>
      </w:r>
      <w:r w:rsidR="006578BD" w:rsidRPr="00621574">
        <w:rPr>
          <w:sz w:val="22"/>
          <w:szCs w:val="22"/>
        </w:rPr>
        <w:t xml:space="preserve">. </w:t>
      </w:r>
    </w:p>
    <w:p w14:paraId="0160FAF6" w14:textId="1B0A9875" w:rsidR="002343A9" w:rsidRDefault="006578BD" w:rsidP="006578BD">
      <w:pPr>
        <w:spacing w:before="240" w:after="120" w:line="240" w:lineRule="auto"/>
        <w:rPr>
          <w:b/>
          <w:sz w:val="24"/>
          <w:szCs w:val="24"/>
        </w:rPr>
      </w:pPr>
      <w:r w:rsidRPr="006578BD">
        <w:rPr>
          <w:b/>
          <w:sz w:val="24"/>
          <w:szCs w:val="24"/>
        </w:rPr>
        <w:t>RESULTS AND DISCUSSION</w:t>
      </w:r>
    </w:p>
    <w:p w14:paraId="07F21A69" w14:textId="308F179B" w:rsidR="001F4B8E" w:rsidRPr="001F4B8E" w:rsidRDefault="001F4B8E" w:rsidP="001F4B8E">
      <w:pPr>
        <w:spacing w:line="240" w:lineRule="auto"/>
        <w:jc w:val="both"/>
        <w:rPr>
          <w:b/>
          <w:bCs/>
          <w:sz w:val="22"/>
          <w:szCs w:val="22"/>
        </w:rPr>
      </w:pPr>
      <w:r w:rsidRPr="001F4B8E">
        <w:rPr>
          <w:b/>
          <w:bCs/>
          <w:sz w:val="22"/>
          <w:szCs w:val="22"/>
        </w:rPr>
        <w:t>Results</w:t>
      </w:r>
    </w:p>
    <w:p w14:paraId="19175163" w14:textId="77777777" w:rsidR="00E203F5" w:rsidRDefault="00DB4122" w:rsidP="00E203F5">
      <w:pPr>
        <w:ind w:firstLine="720"/>
        <w:jc w:val="both"/>
        <w:rPr>
          <w:sz w:val="22"/>
          <w:szCs w:val="22"/>
        </w:rPr>
      </w:pPr>
      <w:r w:rsidRPr="00DB4122">
        <w:rPr>
          <w:sz w:val="22"/>
          <w:szCs w:val="22"/>
        </w:rPr>
        <w:t xml:space="preserve">The results of the literature synthesis show that the use of </w:t>
      </w:r>
      <w:r w:rsidRPr="00DB4122">
        <w:rPr>
          <w:i/>
          <w:iCs/>
          <w:sz w:val="22"/>
          <w:szCs w:val="22"/>
        </w:rPr>
        <w:t>artificial intelligence</w:t>
      </w:r>
      <w:r w:rsidRPr="00DB4122">
        <w:rPr>
          <w:sz w:val="22"/>
          <w:szCs w:val="22"/>
        </w:rPr>
        <w:t xml:space="preserve"> in the field of personal nutrition has developed very rapidly, especially since 2020. Wu et al. (2025) identified 198 publications on AI and </w:t>
      </w:r>
      <w:r w:rsidRPr="00DB4122">
        <w:rPr>
          <w:i/>
          <w:iCs/>
          <w:sz w:val="22"/>
          <w:szCs w:val="22"/>
        </w:rPr>
        <w:t>precision nutrition</w:t>
      </w:r>
      <w:r w:rsidRPr="00DB4122">
        <w:rPr>
          <w:sz w:val="22"/>
          <w:szCs w:val="22"/>
        </w:rPr>
        <w:t>, with about 75% of articles published since 2020. The application of AI in the study can be grouped into several main areas</w:t>
      </w:r>
      <w:r w:rsidR="00E203F5">
        <w:rPr>
          <w:sz w:val="22"/>
          <w:szCs w:val="22"/>
        </w:rPr>
        <w:t xml:space="preserve">: food consumption assessment, prediction of metabolic response, preparation of personalized food recommendations, monitoring of </w:t>
      </w:r>
      <w:r w:rsidRPr="00DB4122">
        <w:rPr>
          <w:sz w:val="22"/>
          <w:szCs w:val="22"/>
        </w:rPr>
        <w:t xml:space="preserve">eating </w:t>
      </w:r>
      <w:proofErr w:type="spellStart"/>
      <w:r w:rsidRPr="00DB4122">
        <w:rPr>
          <w:sz w:val="22"/>
          <w:szCs w:val="22"/>
        </w:rPr>
        <w:t>behavior</w:t>
      </w:r>
      <w:proofErr w:type="spellEnd"/>
      <w:r w:rsidRPr="00DB4122">
        <w:rPr>
          <w:sz w:val="22"/>
          <w:szCs w:val="22"/>
        </w:rPr>
        <w:t xml:space="preserve">, identification of disease risks, and development of health management systems. The most commonly used algorithms include </w:t>
      </w:r>
      <w:r w:rsidRPr="00DB4122">
        <w:rPr>
          <w:i/>
          <w:iCs/>
          <w:sz w:val="22"/>
          <w:szCs w:val="22"/>
        </w:rPr>
        <w:t>machine learning</w:t>
      </w:r>
      <w:r w:rsidRPr="00DB4122">
        <w:rPr>
          <w:sz w:val="22"/>
          <w:szCs w:val="22"/>
        </w:rPr>
        <w:t xml:space="preserve">, </w:t>
      </w:r>
      <w:r w:rsidRPr="00DB4122">
        <w:rPr>
          <w:i/>
          <w:iCs/>
          <w:sz w:val="22"/>
          <w:szCs w:val="22"/>
        </w:rPr>
        <w:t>deep learning</w:t>
      </w:r>
      <w:r w:rsidRPr="00DB4122">
        <w:rPr>
          <w:sz w:val="22"/>
          <w:szCs w:val="22"/>
        </w:rPr>
        <w:t xml:space="preserve">, </w:t>
      </w:r>
      <w:r w:rsidRPr="00DB4122">
        <w:rPr>
          <w:i/>
          <w:iCs/>
          <w:sz w:val="22"/>
          <w:szCs w:val="22"/>
        </w:rPr>
        <w:t>artificial neural networks</w:t>
      </w:r>
      <w:r w:rsidRPr="00DB4122">
        <w:rPr>
          <w:sz w:val="22"/>
          <w:szCs w:val="22"/>
        </w:rPr>
        <w:t xml:space="preserve">, </w:t>
      </w:r>
      <w:r w:rsidRPr="00DB4122">
        <w:rPr>
          <w:i/>
          <w:iCs/>
          <w:sz w:val="22"/>
          <w:szCs w:val="22"/>
        </w:rPr>
        <w:t>random forests</w:t>
      </w:r>
      <w:r w:rsidRPr="00DB4122">
        <w:rPr>
          <w:sz w:val="22"/>
          <w:szCs w:val="22"/>
        </w:rPr>
        <w:t xml:space="preserve">, </w:t>
      </w:r>
      <w:r w:rsidRPr="00DB4122">
        <w:rPr>
          <w:i/>
          <w:iCs/>
          <w:sz w:val="22"/>
          <w:szCs w:val="22"/>
        </w:rPr>
        <w:t>support vector machines</w:t>
      </w:r>
      <w:r w:rsidRPr="00DB4122">
        <w:rPr>
          <w:sz w:val="22"/>
          <w:szCs w:val="22"/>
        </w:rPr>
        <w:t xml:space="preserve">, </w:t>
      </w:r>
      <w:r w:rsidRPr="00DB4122">
        <w:rPr>
          <w:i/>
          <w:iCs/>
          <w:sz w:val="22"/>
          <w:szCs w:val="22"/>
        </w:rPr>
        <w:t>natural language processing</w:t>
      </w:r>
      <w:r w:rsidRPr="00DB4122">
        <w:rPr>
          <w:sz w:val="22"/>
          <w:szCs w:val="22"/>
        </w:rPr>
        <w:t xml:space="preserve">, and knowledge-based recommendation systems. However, the use of </w:t>
      </w:r>
      <w:r w:rsidRPr="00DB4122">
        <w:rPr>
          <w:i/>
          <w:iCs/>
          <w:sz w:val="22"/>
          <w:szCs w:val="22"/>
        </w:rPr>
        <w:t>generative artificial intelligence</w:t>
      </w:r>
      <w:r w:rsidRPr="00DB4122">
        <w:rPr>
          <w:sz w:val="22"/>
          <w:szCs w:val="22"/>
        </w:rPr>
        <w:t xml:space="preserve"> and large language models in nutrition recommendations is still in its early stages compared to conventional machine learning methods (Sosa-Holwerda et al., 2024; Wu et al., 2025).</w:t>
      </w:r>
    </w:p>
    <w:p w14:paraId="536A1A3D" w14:textId="77777777" w:rsidR="00E203F5" w:rsidRDefault="00DB4122" w:rsidP="00E203F5">
      <w:pPr>
        <w:ind w:firstLine="720"/>
        <w:jc w:val="both"/>
        <w:rPr>
          <w:sz w:val="22"/>
          <w:szCs w:val="22"/>
        </w:rPr>
      </w:pPr>
      <w:r w:rsidRPr="00DB4122">
        <w:rPr>
          <w:sz w:val="22"/>
          <w:szCs w:val="22"/>
        </w:rPr>
        <w:t xml:space="preserve">Subsequent findings show that AI is most widely used to improve the accuracy of food consumption assessments. Computer vision-based systems can identify food types, separate multiple food components in a single plate, estimate portion sizes, and link them to food composition databases. This approach has the potential to reduce reliance on respondents' memory and recording errors often found in </w:t>
      </w:r>
      <w:r w:rsidRPr="00DB4122">
        <w:rPr>
          <w:i/>
          <w:iCs/>
          <w:sz w:val="22"/>
          <w:szCs w:val="22"/>
        </w:rPr>
        <w:t>food recall methods</w:t>
      </w:r>
      <w:r w:rsidRPr="00DB4122">
        <w:rPr>
          <w:sz w:val="22"/>
          <w:szCs w:val="22"/>
        </w:rPr>
        <w:t xml:space="preserve">, food frequency questionnaires, and food records. The development of </w:t>
      </w:r>
      <w:r w:rsidRPr="00DB4122">
        <w:rPr>
          <w:i/>
          <w:iCs/>
          <w:sz w:val="22"/>
          <w:szCs w:val="22"/>
        </w:rPr>
        <w:t>deep learning</w:t>
      </w:r>
      <w:r w:rsidRPr="00DB4122">
        <w:rPr>
          <w:sz w:val="22"/>
          <w:szCs w:val="22"/>
        </w:rPr>
        <w:t xml:space="preserve"> also improves the system's ability to recognize visual </w:t>
      </w:r>
      <w:r w:rsidR="00E203F5">
        <w:rPr>
          <w:sz w:val="22"/>
          <w:szCs w:val="22"/>
        </w:rPr>
        <w:t>food patterns</w:t>
      </w:r>
      <w:r w:rsidRPr="00DB4122">
        <w:rPr>
          <w:sz w:val="22"/>
          <w:szCs w:val="22"/>
        </w:rPr>
        <w:t xml:space="preserve"> compared to manual classification methods. However, the </w:t>
      </w:r>
      <w:r w:rsidR="00E203F5">
        <w:rPr>
          <w:sz w:val="22"/>
          <w:szCs w:val="22"/>
        </w:rPr>
        <w:t xml:space="preserve">system's accuracy is still affected by lighting, shooting angles, serving shapes, overlapping foods, invisible ingredients, and </w:t>
      </w:r>
      <w:r w:rsidRPr="00DB4122">
        <w:rPr>
          <w:sz w:val="22"/>
          <w:szCs w:val="22"/>
        </w:rPr>
        <w:t>limitations of local food databases (</w:t>
      </w:r>
      <w:proofErr w:type="spellStart"/>
      <w:r w:rsidRPr="00DB4122">
        <w:rPr>
          <w:sz w:val="22"/>
          <w:szCs w:val="22"/>
        </w:rPr>
        <w:t>Chotwanvirat</w:t>
      </w:r>
      <w:proofErr w:type="spellEnd"/>
      <w:r w:rsidRPr="00DB4122">
        <w:rPr>
          <w:sz w:val="22"/>
          <w:szCs w:val="22"/>
        </w:rPr>
        <w:t xml:space="preserve"> et al., 2024; Sosa-Holwerda et al., 2024).</w:t>
      </w:r>
    </w:p>
    <w:p w14:paraId="3C9B891A" w14:textId="2C2AE1A6" w:rsidR="00E203F5" w:rsidRDefault="00DB4122" w:rsidP="00E203F5">
      <w:pPr>
        <w:ind w:firstLine="720"/>
        <w:jc w:val="both"/>
        <w:rPr>
          <w:sz w:val="22"/>
          <w:szCs w:val="22"/>
        </w:rPr>
      </w:pPr>
      <w:r w:rsidRPr="00DB4122">
        <w:rPr>
          <w:sz w:val="22"/>
          <w:szCs w:val="22"/>
        </w:rPr>
        <w:t xml:space="preserve">A study by Cofre et al. (2025) on 13 validation studies shows that AI-based consumption assessment methods have good potential in estimating energy and nutrients. Six studies reported </w:t>
      </w:r>
      <w:r w:rsidR="00E203F5">
        <w:rPr>
          <w:sz w:val="22"/>
          <w:szCs w:val="22"/>
        </w:rPr>
        <w:t>correlations of more than 0.70 between the AI estimate and the comparison method for energy, while six studies reported correlations</w:t>
      </w:r>
      <w:r w:rsidRPr="00DB4122">
        <w:rPr>
          <w:sz w:val="22"/>
          <w:szCs w:val="22"/>
        </w:rPr>
        <w:t xml:space="preserve"> of more than 0.70 for macronutrients. Four studies also obtained similar correlations for several micronutrients. However, the range of accuracy is still wide. The estimated correlation of energy was in the range of 0.20–0.97, while the correlation of macronutrients ranged from 0.38–0.98. The accuracy of food recognition also varies by type of food, ranging from 25% in certain beverages to more than 90% in food categories that have more pronounced visual characteristics. In addition, as many as 61.5% of </w:t>
      </w:r>
      <w:r w:rsidR="00E203F5">
        <w:rPr>
          <w:sz w:val="22"/>
          <w:szCs w:val="22"/>
        </w:rPr>
        <w:t>studies are still conducted in preclinical settings,</w:t>
      </w:r>
      <w:r w:rsidRPr="00DB4122">
        <w:rPr>
          <w:sz w:val="22"/>
          <w:szCs w:val="22"/>
        </w:rPr>
        <w:t xml:space="preserve"> and most have a moderate risk of bias (Cofre et al., 2025).</w:t>
      </w:r>
    </w:p>
    <w:p w14:paraId="010F8ECA" w14:textId="77777777" w:rsidR="00E203F5" w:rsidRDefault="00DB4122" w:rsidP="00E203F5">
      <w:pPr>
        <w:ind w:firstLine="720"/>
        <w:jc w:val="both"/>
        <w:rPr>
          <w:sz w:val="22"/>
          <w:szCs w:val="22"/>
        </w:rPr>
      </w:pPr>
      <w:r w:rsidRPr="00DB4122">
        <w:rPr>
          <w:sz w:val="22"/>
          <w:szCs w:val="22"/>
        </w:rPr>
        <w:t xml:space="preserve">In </w:t>
      </w:r>
      <w:r w:rsidR="00E203F5">
        <w:rPr>
          <w:sz w:val="22"/>
          <w:szCs w:val="22"/>
        </w:rPr>
        <w:t>preparing personalized nutrition recommendations, AI uses a combination of demographic data, anthropometric measurements, medical history, dietary preferences, physical activity, sleep patterns, glucose response, lipid profiles, the gut microbiome, and genetic and metabolomic</w:t>
      </w:r>
      <w:r w:rsidRPr="00DB4122">
        <w:rPr>
          <w:sz w:val="22"/>
          <w:szCs w:val="22"/>
        </w:rPr>
        <w:t xml:space="preserve"> data. Such multidimensional data processing </w:t>
      </w:r>
      <w:r w:rsidR="00E203F5">
        <w:rPr>
          <w:sz w:val="22"/>
          <w:szCs w:val="22"/>
        </w:rPr>
        <w:t>enables algorithms to identify response variations among</w:t>
      </w:r>
      <w:r w:rsidRPr="00DB4122">
        <w:rPr>
          <w:sz w:val="22"/>
          <w:szCs w:val="22"/>
        </w:rPr>
        <w:t xml:space="preserve"> individuals and generate more specific recommendations than population-based nutrition guidelines. AI systems can adjust the type of food, </w:t>
      </w:r>
      <w:r w:rsidR="00E203F5">
        <w:rPr>
          <w:sz w:val="22"/>
          <w:szCs w:val="22"/>
        </w:rPr>
        <w:t xml:space="preserve">energy intake, nutrient composition, meal timing, and the </w:t>
      </w:r>
      <w:r w:rsidRPr="00DB4122">
        <w:rPr>
          <w:sz w:val="22"/>
          <w:szCs w:val="22"/>
        </w:rPr>
        <w:t xml:space="preserve">priority of </w:t>
      </w:r>
      <w:proofErr w:type="spellStart"/>
      <w:r w:rsidRPr="00DB4122">
        <w:rPr>
          <w:sz w:val="22"/>
          <w:szCs w:val="22"/>
        </w:rPr>
        <w:t>behavior</w:t>
      </w:r>
      <w:proofErr w:type="spellEnd"/>
      <w:r w:rsidRPr="00DB4122">
        <w:rPr>
          <w:sz w:val="22"/>
          <w:szCs w:val="22"/>
        </w:rPr>
        <w:t xml:space="preserve"> changes based on the user's condition. The available evidence suggests that this approach is most widely </w:t>
      </w:r>
      <w:r w:rsidR="00E203F5">
        <w:rPr>
          <w:sz w:val="22"/>
          <w:szCs w:val="22"/>
        </w:rPr>
        <w:t xml:space="preserve">used to control </w:t>
      </w:r>
      <w:r w:rsidRPr="00DB4122">
        <w:rPr>
          <w:sz w:val="22"/>
          <w:szCs w:val="22"/>
        </w:rPr>
        <w:t xml:space="preserve">diabetes, obesity, metabolic disorders, cardiovascular disease, and gastrointestinal disorders. However, most systems still use one or more data sources and have not fully integrated clinical, </w:t>
      </w:r>
      <w:proofErr w:type="spellStart"/>
      <w:r w:rsidRPr="00DB4122">
        <w:rPr>
          <w:sz w:val="22"/>
          <w:szCs w:val="22"/>
        </w:rPr>
        <w:t>behavioral</w:t>
      </w:r>
      <w:proofErr w:type="spellEnd"/>
      <w:r w:rsidRPr="00DB4122">
        <w:rPr>
          <w:sz w:val="22"/>
          <w:szCs w:val="22"/>
        </w:rPr>
        <w:t xml:space="preserve">, environmental, and </w:t>
      </w:r>
      <w:r w:rsidRPr="00DB4122">
        <w:rPr>
          <w:i/>
          <w:iCs/>
          <w:sz w:val="22"/>
          <w:szCs w:val="22"/>
        </w:rPr>
        <w:t>multi-omics</w:t>
      </w:r>
      <w:r w:rsidRPr="00DB4122">
        <w:rPr>
          <w:sz w:val="22"/>
          <w:szCs w:val="22"/>
        </w:rPr>
        <w:t xml:space="preserve"> data simultaneously (Ferrario &amp; Gedrich, 2024; Sosa-Holwerda et al., 2024; Wang et al., 2025).</w:t>
      </w:r>
    </w:p>
    <w:p w14:paraId="34910AA5" w14:textId="1AC96093" w:rsidR="00DB4122" w:rsidRPr="00DB4122" w:rsidRDefault="00DB4122" w:rsidP="00E203F5">
      <w:pPr>
        <w:ind w:firstLine="720"/>
        <w:jc w:val="both"/>
        <w:rPr>
          <w:sz w:val="22"/>
          <w:szCs w:val="22"/>
        </w:rPr>
      </w:pPr>
      <w:r w:rsidRPr="00DB4122">
        <w:rPr>
          <w:sz w:val="22"/>
          <w:szCs w:val="22"/>
        </w:rPr>
        <w:t>Clinical research results show that algorithm-based personalized nutrition recommendations can improve some non-communicable disease risk indicators</w:t>
      </w:r>
      <w:r w:rsidR="00E203F5">
        <w:rPr>
          <w:sz w:val="22"/>
          <w:szCs w:val="22"/>
        </w:rPr>
        <w:t xml:space="preserve"> but have not consistently improved other</w:t>
      </w:r>
      <w:r w:rsidRPr="00DB4122">
        <w:rPr>
          <w:sz w:val="22"/>
          <w:szCs w:val="22"/>
        </w:rPr>
        <w:t xml:space="preserve"> health indicators. In a randomized controlled study of 347 adults, an 18-week personalized nutrition program that used post-meal glucose and triglyceride responses, microbiome, dietary characteristics, and health history resulted in a greater reduction in triglycerides than general nutritional recommendations. The program also improved weight, waist circumference, HbA1c, diet quality, and microbiome diversity. However, changes in LDL cholesterol, blood pressure, insulin, fasting glucose, C-peptide, apolipoproteins A1 and B, and post-traumatic triglycerides did not differ significantly between groups. These findings suggest that the benefits of personalization are more </w:t>
      </w:r>
      <w:r w:rsidR="00E203F5">
        <w:rPr>
          <w:sz w:val="22"/>
          <w:szCs w:val="22"/>
        </w:rPr>
        <w:t xml:space="preserve">evident in eating </w:t>
      </w:r>
      <w:proofErr w:type="spellStart"/>
      <w:r w:rsidR="00E203F5">
        <w:rPr>
          <w:sz w:val="22"/>
          <w:szCs w:val="22"/>
        </w:rPr>
        <w:t>behaviors</w:t>
      </w:r>
      <w:proofErr w:type="spellEnd"/>
      <w:r w:rsidR="00E203F5">
        <w:rPr>
          <w:sz w:val="22"/>
          <w:szCs w:val="22"/>
        </w:rPr>
        <w:t xml:space="preserve"> and certain metabolic indicators, but are insufficient</w:t>
      </w:r>
      <w:r w:rsidRPr="00DB4122">
        <w:rPr>
          <w:sz w:val="22"/>
          <w:szCs w:val="22"/>
        </w:rPr>
        <w:t xml:space="preserve"> to conclude long-term effectiveness in preventing non-communicable diseases (Bermingham et al., 2024; Wang et al., 2025).</w:t>
      </w:r>
    </w:p>
    <w:p w14:paraId="3B522B71" w14:textId="77777777" w:rsidR="00DB4122" w:rsidRPr="00DB4122" w:rsidRDefault="00DB4122" w:rsidP="00DB4122">
      <w:pPr>
        <w:jc w:val="both"/>
        <w:rPr>
          <w:b/>
          <w:bCs/>
          <w:sz w:val="22"/>
          <w:szCs w:val="22"/>
        </w:rPr>
      </w:pPr>
      <w:r w:rsidRPr="00DB4122">
        <w:rPr>
          <w:b/>
          <w:bCs/>
          <w:sz w:val="22"/>
          <w:szCs w:val="22"/>
        </w:rPr>
        <w:t>Discussion</w:t>
      </w:r>
    </w:p>
    <w:p w14:paraId="315859FF" w14:textId="3032E7EB" w:rsidR="00DB4122" w:rsidRPr="00DB4122" w:rsidRDefault="00DB4122" w:rsidP="00E203F5">
      <w:pPr>
        <w:ind w:firstLine="720"/>
        <w:jc w:val="both"/>
        <w:rPr>
          <w:sz w:val="22"/>
          <w:szCs w:val="22"/>
        </w:rPr>
      </w:pPr>
      <w:r w:rsidRPr="00DB4122">
        <w:rPr>
          <w:sz w:val="22"/>
          <w:szCs w:val="22"/>
        </w:rPr>
        <w:t xml:space="preserve">The research findings show that the main contribution of AI in personal nutrition lies in its ability to process complex data and recognize the heterogeneity of the body's response to food. Conventional nutritional recommendations are generally structured </w:t>
      </w:r>
      <w:r w:rsidR="00E203F5">
        <w:rPr>
          <w:sz w:val="22"/>
          <w:szCs w:val="22"/>
        </w:rPr>
        <w:t>around the average needs of a population, whereas AI allows recommendations to be adjusted to each individual's characteristics</w:t>
      </w:r>
      <w:r w:rsidRPr="00DB4122">
        <w:rPr>
          <w:sz w:val="22"/>
          <w:szCs w:val="22"/>
        </w:rPr>
        <w:t xml:space="preserve">. This approach is relevant because the same food can produce different responses of glucose, lipids, satiety, and weight changes. The integration of consumption data, biomarkers, microbiome, physical activity, and clinical conditions can help generate more contextual nutritional decisions. Thus, AI </w:t>
      </w:r>
      <w:r w:rsidR="00E203F5">
        <w:rPr>
          <w:sz w:val="22"/>
          <w:szCs w:val="22"/>
        </w:rPr>
        <w:t>serves not only as an automation tool but also as a decision-support</w:t>
      </w:r>
      <w:r w:rsidRPr="00DB4122">
        <w:rPr>
          <w:sz w:val="22"/>
          <w:szCs w:val="22"/>
        </w:rPr>
        <w:t xml:space="preserve"> system that helps nutritionists determine more appropriate interventions for individuals with non-communicable disease risk factors (Atwal et al., 2024; Ferrario &amp; Gedrich, 2024; Wu et al., 2025).</w:t>
      </w:r>
      <w:r w:rsidR="00B230FA">
        <w:rPr>
          <w:sz w:val="22"/>
          <w:szCs w:val="22"/>
        </w:rPr>
        <w:t xml:space="preserve"> </w:t>
      </w:r>
      <w:r w:rsidRPr="00DB4122">
        <w:rPr>
          <w:sz w:val="22"/>
          <w:szCs w:val="22"/>
        </w:rPr>
        <w:t xml:space="preserve">Although the initial results are promising, the accuracy of AI recommendations </w:t>
      </w:r>
      <w:r w:rsidR="00E203F5">
        <w:rPr>
          <w:sz w:val="22"/>
          <w:szCs w:val="22"/>
        </w:rPr>
        <w:t>depends heavily on the quality of the data used as input</w:t>
      </w:r>
      <w:r w:rsidRPr="00DB4122">
        <w:rPr>
          <w:sz w:val="22"/>
          <w:szCs w:val="22"/>
        </w:rPr>
        <w:t xml:space="preserve">. Errors in recognizing </w:t>
      </w:r>
      <w:r w:rsidR="00E203F5">
        <w:rPr>
          <w:sz w:val="22"/>
          <w:szCs w:val="22"/>
        </w:rPr>
        <w:t>foods, estimating portion sizes, or determining nutrient content can be carried over</w:t>
      </w:r>
      <w:r w:rsidRPr="00DB4122">
        <w:rPr>
          <w:sz w:val="22"/>
          <w:szCs w:val="22"/>
        </w:rPr>
        <w:t xml:space="preserve"> to the recommendation preparation stage, resulting in inappropriate suggestions. Models that </w:t>
      </w:r>
      <w:r w:rsidR="00E203F5">
        <w:rPr>
          <w:sz w:val="22"/>
          <w:szCs w:val="22"/>
        </w:rPr>
        <w:t>achieve high accuracy in image classification are not necessarily able to accurately estimate energy and nutrient content because information about oils, spices, processing methods, and hidden ingredients is difficult to obtain from</w:t>
      </w:r>
      <w:r w:rsidRPr="00DB4122">
        <w:rPr>
          <w:sz w:val="22"/>
          <w:szCs w:val="22"/>
        </w:rPr>
        <w:t xml:space="preserve"> images alone. In addition, the high correlation between AI estimation and comparison methods does not necessarily indicate a good fit at the individual level. Therefore, validation should use various measures, such as correlation, </w:t>
      </w:r>
      <w:r w:rsidRPr="00DB4122">
        <w:rPr>
          <w:i/>
          <w:iCs/>
          <w:sz w:val="22"/>
          <w:szCs w:val="22"/>
        </w:rPr>
        <w:t>mean absolute error</w:t>
      </w:r>
      <w:r w:rsidRPr="00DB4122">
        <w:rPr>
          <w:sz w:val="22"/>
          <w:szCs w:val="22"/>
        </w:rPr>
        <w:t>, Bland–Altman analysis, sensitivity, specificity, and ability of the model to maintain its performance in external populations (</w:t>
      </w:r>
      <w:proofErr w:type="spellStart"/>
      <w:r w:rsidRPr="00DB4122">
        <w:rPr>
          <w:sz w:val="22"/>
          <w:szCs w:val="22"/>
        </w:rPr>
        <w:t>Chotwanvirat</w:t>
      </w:r>
      <w:proofErr w:type="spellEnd"/>
      <w:r w:rsidRPr="00DB4122">
        <w:rPr>
          <w:sz w:val="22"/>
          <w:szCs w:val="22"/>
        </w:rPr>
        <w:t xml:space="preserve"> et al., 2024; Cofre et al., 2025).</w:t>
      </w:r>
    </w:p>
    <w:p w14:paraId="66129572" w14:textId="64C521CD" w:rsidR="002343A9" w:rsidRPr="00DB4122" w:rsidRDefault="00DB4122" w:rsidP="00DB4122">
      <w:pPr>
        <w:spacing w:line="240" w:lineRule="auto"/>
        <w:ind w:firstLine="720"/>
        <w:jc w:val="both"/>
        <w:rPr>
          <w:color w:val="000000"/>
          <w:sz w:val="22"/>
          <w:szCs w:val="22"/>
        </w:rPr>
      </w:pPr>
      <w:r w:rsidRPr="00DB4122">
        <w:rPr>
          <w:sz w:val="22"/>
          <w:szCs w:val="22"/>
        </w:rPr>
        <w:t>Other limitations relate to population representation, algorithm transparency, data privacy, and fairness of access. Most algorithms are developed using data from developed countries</w:t>
      </w:r>
      <w:r w:rsidR="00E203F5">
        <w:rPr>
          <w:sz w:val="22"/>
          <w:szCs w:val="22"/>
        </w:rPr>
        <w:t xml:space="preserve">, so </w:t>
      </w:r>
      <w:r w:rsidRPr="00DB4122">
        <w:rPr>
          <w:sz w:val="22"/>
          <w:szCs w:val="22"/>
        </w:rPr>
        <w:t xml:space="preserve">they </w:t>
      </w:r>
      <w:r w:rsidR="00E203F5">
        <w:rPr>
          <w:sz w:val="22"/>
          <w:szCs w:val="22"/>
        </w:rPr>
        <w:t xml:space="preserve">may not </w:t>
      </w:r>
      <w:r w:rsidRPr="00DB4122">
        <w:rPr>
          <w:sz w:val="22"/>
          <w:szCs w:val="22"/>
        </w:rPr>
        <w:t xml:space="preserve">recognize the food, consumption patterns, socioeconomic conditions, and biological characteristics of people in developing countries. An imbalance in training data can result in more precise recommendations for certain groups, but less accurate </w:t>
      </w:r>
      <w:r w:rsidR="00E203F5">
        <w:rPr>
          <w:sz w:val="22"/>
          <w:szCs w:val="22"/>
        </w:rPr>
        <w:t xml:space="preserve">ones </w:t>
      </w:r>
      <w:r w:rsidRPr="00DB4122">
        <w:rPr>
          <w:sz w:val="22"/>
          <w:szCs w:val="22"/>
        </w:rPr>
        <w:t xml:space="preserve">for unrepresented age groups, ethnicities, or food cultures. The use of health, microbiome, </w:t>
      </w:r>
      <w:r w:rsidR="00E203F5">
        <w:rPr>
          <w:sz w:val="22"/>
          <w:szCs w:val="22"/>
        </w:rPr>
        <w:t xml:space="preserve">biomarker, and genetic data also raises issues regarding user consent, data ownership, data </w:t>
      </w:r>
      <w:r w:rsidRPr="00DB4122">
        <w:rPr>
          <w:sz w:val="22"/>
          <w:szCs w:val="22"/>
        </w:rPr>
        <w:t xml:space="preserve">storage security, and the possibility of using the data for commercial purposes. Therefore, system development needs to implement algorithm transparency, data protection, bias audits, and </w:t>
      </w:r>
      <w:r w:rsidRPr="00DB4122">
        <w:rPr>
          <w:i/>
          <w:iCs/>
          <w:sz w:val="22"/>
          <w:szCs w:val="22"/>
        </w:rPr>
        <w:t xml:space="preserve">human-in-the-loop </w:t>
      </w:r>
      <w:r w:rsidRPr="00DB4122">
        <w:rPr>
          <w:sz w:val="22"/>
          <w:szCs w:val="22"/>
        </w:rPr>
        <w:t>concepts, which are to place nutritionists as the parties who examine and validate recommendations before they are used in health services (Kassem et al., 2023; Sosa-Holwerda et al., 2024; Wu et al., 2025)</w:t>
      </w:r>
    </w:p>
    <w:p w14:paraId="71FC1F63" w14:textId="0BB42956" w:rsidR="002343A9" w:rsidRDefault="006578BD" w:rsidP="006578BD">
      <w:pPr>
        <w:spacing w:before="240" w:after="120" w:line="240" w:lineRule="auto"/>
        <w:rPr>
          <w:b/>
          <w:sz w:val="24"/>
          <w:szCs w:val="24"/>
        </w:rPr>
      </w:pPr>
      <w:r>
        <w:rPr>
          <w:b/>
          <w:sz w:val="24"/>
          <w:szCs w:val="24"/>
        </w:rPr>
        <w:t>CONCLUSION</w:t>
      </w:r>
    </w:p>
    <w:p w14:paraId="5A12DBAD" w14:textId="2BF7F88A" w:rsidR="00E203F5" w:rsidRPr="00E203F5" w:rsidRDefault="00E203F5" w:rsidP="003C54F7">
      <w:pPr>
        <w:spacing w:line="240" w:lineRule="auto"/>
        <w:ind w:firstLine="720"/>
        <w:jc w:val="both"/>
        <w:rPr>
          <w:sz w:val="22"/>
          <w:szCs w:val="22"/>
        </w:rPr>
      </w:pPr>
      <w:r w:rsidRPr="00E203F5">
        <w:rPr>
          <w:sz w:val="22"/>
          <w:szCs w:val="22"/>
        </w:rPr>
        <w:t xml:space="preserve">Although the initial results are promising, the accuracy of AI recommendations </w:t>
      </w:r>
      <w:r w:rsidR="003C54F7">
        <w:rPr>
          <w:sz w:val="22"/>
          <w:szCs w:val="22"/>
        </w:rPr>
        <w:t>depends heavily on the quality of the data used as input</w:t>
      </w:r>
      <w:r w:rsidRPr="00E203F5">
        <w:rPr>
          <w:sz w:val="22"/>
          <w:szCs w:val="22"/>
        </w:rPr>
        <w:t xml:space="preserve">. Errors in recognizing </w:t>
      </w:r>
      <w:r w:rsidR="003C54F7">
        <w:rPr>
          <w:sz w:val="22"/>
          <w:szCs w:val="22"/>
        </w:rPr>
        <w:t>foods, estimating portion sizes, or determining nutrient content can be carried over</w:t>
      </w:r>
      <w:r w:rsidRPr="00E203F5">
        <w:rPr>
          <w:sz w:val="22"/>
          <w:szCs w:val="22"/>
        </w:rPr>
        <w:t xml:space="preserve"> to the recommendation preparation stage, resulting in inappropriate suggestions. Models that </w:t>
      </w:r>
      <w:r w:rsidR="003C54F7">
        <w:rPr>
          <w:sz w:val="22"/>
          <w:szCs w:val="22"/>
        </w:rPr>
        <w:t>achieve high accuracy in image classification are not necessarily able to accurately estimate energy and nutrient content because information about oils, spices, processing methods, and hidden ingredients is difficult to obtain from</w:t>
      </w:r>
      <w:r w:rsidRPr="00E203F5">
        <w:rPr>
          <w:sz w:val="22"/>
          <w:szCs w:val="22"/>
        </w:rPr>
        <w:t xml:space="preserve"> images alone. In addition, the high correlation between AI estimation and comparison methods does not necessarily indicate a good fit at the individual level. Therefore, validation should use various measures, such as correlation, </w:t>
      </w:r>
      <w:r w:rsidRPr="00E203F5">
        <w:rPr>
          <w:i/>
          <w:iCs/>
          <w:sz w:val="22"/>
          <w:szCs w:val="22"/>
        </w:rPr>
        <w:t>mean absolute error</w:t>
      </w:r>
      <w:r w:rsidRPr="00E203F5">
        <w:rPr>
          <w:sz w:val="22"/>
          <w:szCs w:val="22"/>
        </w:rPr>
        <w:t>, Bland–Altman analysis, sensitivity, specificity, and ability of the model to maintain its performance in external populations (</w:t>
      </w:r>
      <w:proofErr w:type="spellStart"/>
      <w:r w:rsidRPr="00E203F5">
        <w:rPr>
          <w:sz w:val="22"/>
          <w:szCs w:val="22"/>
        </w:rPr>
        <w:t>Chotwanvirat</w:t>
      </w:r>
      <w:proofErr w:type="spellEnd"/>
      <w:r w:rsidRPr="00E203F5">
        <w:rPr>
          <w:sz w:val="22"/>
          <w:szCs w:val="22"/>
        </w:rPr>
        <w:t xml:space="preserve"> et al., 2024; Cofre et al., 2025).</w:t>
      </w:r>
      <w:r w:rsidR="003C54F7">
        <w:rPr>
          <w:sz w:val="22"/>
          <w:szCs w:val="22"/>
        </w:rPr>
        <w:t xml:space="preserve"> </w:t>
      </w:r>
      <w:r w:rsidRPr="00E203F5">
        <w:rPr>
          <w:sz w:val="22"/>
          <w:szCs w:val="22"/>
        </w:rPr>
        <w:t>Other limitations relate to population representation, algorithm transparency, data privacy, and fairness of access. Most algorithms are developed using data from developed countries</w:t>
      </w:r>
      <w:r w:rsidR="003C54F7">
        <w:rPr>
          <w:sz w:val="22"/>
          <w:szCs w:val="22"/>
        </w:rPr>
        <w:t xml:space="preserve">, so </w:t>
      </w:r>
      <w:r w:rsidRPr="00E203F5">
        <w:rPr>
          <w:sz w:val="22"/>
          <w:szCs w:val="22"/>
        </w:rPr>
        <w:t xml:space="preserve">they </w:t>
      </w:r>
      <w:r w:rsidR="003C54F7">
        <w:rPr>
          <w:sz w:val="22"/>
          <w:szCs w:val="22"/>
        </w:rPr>
        <w:t xml:space="preserve">may not </w:t>
      </w:r>
      <w:r w:rsidRPr="00E203F5">
        <w:rPr>
          <w:sz w:val="22"/>
          <w:szCs w:val="22"/>
        </w:rPr>
        <w:t xml:space="preserve">recognize the food, consumption patterns, socioeconomic conditions, and biological characteristics of people in developing countries. An imbalance in training data can result in more precise recommendations for certain groups, but less accurate </w:t>
      </w:r>
      <w:r w:rsidR="00B230FA">
        <w:rPr>
          <w:sz w:val="22"/>
          <w:szCs w:val="22"/>
        </w:rPr>
        <w:t xml:space="preserve">ones </w:t>
      </w:r>
      <w:r w:rsidRPr="00E203F5">
        <w:rPr>
          <w:sz w:val="22"/>
          <w:szCs w:val="22"/>
        </w:rPr>
        <w:t xml:space="preserve">for unrepresented age groups, ethnicities, or food cultures. The use of health, microbiome, </w:t>
      </w:r>
      <w:r w:rsidR="003C54F7">
        <w:rPr>
          <w:sz w:val="22"/>
          <w:szCs w:val="22"/>
        </w:rPr>
        <w:t xml:space="preserve">biomarker, and genetic data also raises issues regarding user consent, data ownership, data </w:t>
      </w:r>
      <w:r w:rsidRPr="00E203F5">
        <w:rPr>
          <w:sz w:val="22"/>
          <w:szCs w:val="22"/>
        </w:rPr>
        <w:t xml:space="preserve">storage security, and the possibility of using the data for commercial purposes. Therefore, system development needs to implement algorithm transparency, data protection, bias audits, and </w:t>
      </w:r>
      <w:r w:rsidRPr="00E203F5">
        <w:rPr>
          <w:i/>
          <w:iCs/>
          <w:sz w:val="22"/>
          <w:szCs w:val="22"/>
        </w:rPr>
        <w:t xml:space="preserve">human-in-the-loop </w:t>
      </w:r>
      <w:r w:rsidRPr="00E203F5">
        <w:rPr>
          <w:sz w:val="22"/>
          <w:szCs w:val="22"/>
        </w:rPr>
        <w:t>concepts, which are to place nutritionists as the parties who examine and validate recommendations before they are used in health services (Kassem et al., 2023; Sosa-Holwerda et al., 2024; Wu et al., 2025).</w:t>
      </w:r>
      <w:r w:rsidR="003C54F7">
        <w:rPr>
          <w:sz w:val="22"/>
          <w:szCs w:val="22"/>
        </w:rPr>
        <w:t xml:space="preserve"> </w:t>
      </w:r>
      <w:r w:rsidRPr="00E203F5">
        <w:rPr>
          <w:sz w:val="22"/>
          <w:szCs w:val="22"/>
        </w:rPr>
        <w:t xml:space="preserve">Overall, AI has not been able to replace the role of nutritionists in the process of nutritional assessment, diagnosis, intervention, monitoring, and evaluation. This technology is more appropriately used as a </w:t>
      </w:r>
      <w:r w:rsidR="003C54F7">
        <w:rPr>
          <w:sz w:val="22"/>
          <w:szCs w:val="22"/>
        </w:rPr>
        <w:t>decision-support system that helps professionals produce more personalized, adaptive, and data-driven</w:t>
      </w:r>
      <w:r w:rsidRPr="00E203F5">
        <w:rPr>
          <w:sz w:val="22"/>
          <w:szCs w:val="22"/>
        </w:rPr>
        <w:t xml:space="preserve"> recommendations. The application of AI also needs to consider </w:t>
      </w:r>
      <w:r w:rsidR="003C54F7">
        <w:rPr>
          <w:sz w:val="22"/>
          <w:szCs w:val="22"/>
        </w:rPr>
        <w:t>algorithmic transparency, personal data protection, fair access</w:t>
      </w:r>
      <w:r w:rsidRPr="00E203F5">
        <w:rPr>
          <w:sz w:val="22"/>
          <w:szCs w:val="22"/>
        </w:rPr>
        <w:t>, food culture, socioeconomic conditions, and potential bias against underrepresented groups. Therefore, the success of AI-based nutrition recommendations is determined not only by the sophistication of the algorithm</w:t>
      </w:r>
      <w:r w:rsidR="003C54F7">
        <w:rPr>
          <w:sz w:val="22"/>
          <w:szCs w:val="22"/>
        </w:rPr>
        <w:t xml:space="preserve"> but also by the quality of the scientific evidence, clinical validation, nutritionist engagement, and suitability for</w:t>
      </w:r>
      <w:r w:rsidRPr="00E203F5">
        <w:rPr>
          <w:sz w:val="22"/>
          <w:szCs w:val="22"/>
        </w:rPr>
        <w:t xml:space="preserve"> the user's needs.</w:t>
      </w:r>
    </w:p>
    <w:p w14:paraId="20827396" w14:textId="77777777" w:rsidR="00E203F5" w:rsidRPr="00E203F5" w:rsidRDefault="00E203F5" w:rsidP="00E203F5">
      <w:pPr>
        <w:spacing w:line="240" w:lineRule="auto"/>
        <w:jc w:val="both"/>
        <w:rPr>
          <w:b/>
          <w:bCs/>
          <w:sz w:val="22"/>
          <w:szCs w:val="22"/>
        </w:rPr>
      </w:pPr>
      <w:r w:rsidRPr="00E203F5">
        <w:rPr>
          <w:b/>
          <w:bCs/>
          <w:sz w:val="22"/>
          <w:szCs w:val="22"/>
        </w:rPr>
        <w:t>Suggestions</w:t>
      </w:r>
    </w:p>
    <w:p w14:paraId="1CAD1A26" w14:textId="45AC30B1" w:rsidR="006E7B3C" w:rsidRDefault="00E203F5" w:rsidP="003C54F7">
      <w:pPr>
        <w:spacing w:line="240" w:lineRule="auto"/>
        <w:ind w:firstLine="720"/>
        <w:jc w:val="both"/>
        <w:rPr>
          <w:sz w:val="22"/>
          <w:szCs w:val="22"/>
        </w:rPr>
      </w:pPr>
      <w:r w:rsidRPr="00E203F5">
        <w:rPr>
          <w:sz w:val="22"/>
          <w:szCs w:val="22"/>
        </w:rPr>
        <w:t xml:space="preserve">Further research is recommended using a </w:t>
      </w:r>
      <w:proofErr w:type="spellStart"/>
      <w:r w:rsidRPr="00E203F5">
        <w:rPr>
          <w:sz w:val="22"/>
          <w:szCs w:val="22"/>
        </w:rPr>
        <w:t>multicenter</w:t>
      </w:r>
      <w:proofErr w:type="spellEnd"/>
      <w:r w:rsidRPr="00E203F5">
        <w:rPr>
          <w:sz w:val="22"/>
          <w:szCs w:val="22"/>
        </w:rPr>
        <w:t xml:space="preserve"> clinical trial design with a larger number of respondents, diverse population characteristics, and longer intervention and follow-up periods. The study also needs to compare AI-based recommendations with personalized nutrition </w:t>
      </w:r>
      <w:proofErr w:type="spellStart"/>
      <w:r w:rsidRPr="00E203F5">
        <w:rPr>
          <w:sz w:val="22"/>
          <w:szCs w:val="22"/>
        </w:rPr>
        <w:t>counseling</w:t>
      </w:r>
      <w:proofErr w:type="spellEnd"/>
      <w:r w:rsidRPr="00E203F5">
        <w:rPr>
          <w:sz w:val="22"/>
          <w:szCs w:val="22"/>
        </w:rPr>
        <w:t xml:space="preserve"> by nutritionists</w:t>
      </w:r>
      <w:r w:rsidR="003C54F7">
        <w:rPr>
          <w:sz w:val="22"/>
          <w:szCs w:val="22"/>
        </w:rPr>
        <w:t>, using the same level of mentoring intensity</w:t>
      </w:r>
      <w:r w:rsidRPr="00E203F5">
        <w:rPr>
          <w:sz w:val="22"/>
          <w:szCs w:val="22"/>
        </w:rPr>
        <w:t xml:space="preserve">. Standardization of accuracy indicators, external validation, cost-effectiveness analysis, and measurement of </w:t>
      </w:r>
      <w:r w:rsidR="003C54F7">
        <w:rPr>
          <w:sz w:val="22"/>
          <w:szCs w:val="22"/>
        </w:rPr>
        <w:t>the impact on the incidence of non-communicable diseases need to be carried out to more comprehensively assess the clinical benefits of AI</w:t>
      </w:r>
      <w:r w:rsidRPr="00E203F5">
        <w:rPr>
          <w:sz w:val="22"/>
          <w:szCs w:val="22"/>
        </w:rPr>
        <w:t>.</w:t>
      </w:r>
      <w:r w:rsidR="003C54F7">
        <w:rPr>
          <w:sz w:val="22"/>
          <w:szCs w:val="22"/>
        </w:rPr>
        <w:t xml:space="preserve"> </w:t>
      </w:r>
      <w:r w:rsidRPr="00E203F5">
        <w:rPr>
          <w:sz w:val="22"/>
          <w:szCs w:val="22"/>
        </w:rPr>
        <w:t xml:space="preserve">Technology developers and health institutions are advised to build a complete database of local food composition, strengthen the security and confidentiality of user data, and implement bias audits and </w:t>
      </w:r>
      <w:r w:rsidRPr="00E203F5">
        <w:rPr>
          <w:i/>
          <w:iCs/>
          <w:sz w:val="22"/>
          <w:szCs w:val="22"/>
        </w:rPr>
        <w:t>explainable artificial intelligence</w:t>
      </w:r>
      <w:r w:rsidRPr="00E203F5">
        <w:rPr>
          <w:sz w:val="22"/>
          <w:szCs w:val="22"/>
        </w:rPr>
        <w:t xml:space="preserve"> principles. Any recommendations </w:t>
      </w:r>
      <w:r w:rsidR="00076C2A">
        <w:rPr>
          <w:sz w:val="22"/>
          <w:szCs w:val="22"/>
        </w:rPr>
        <w:t>regarding the clinical condition should still be verified by a nutritionist using</w:t>
      </w:r>
      <w:r w:rsidRPr="00E203F5">
        <w:rPr>
          <w:sz w:val="22"/>
          <w:szCs w:val="22"/>
        </w:rPr>
        <w:t xml:space="preserve"> a </w:t>
      </w:r>
      <w:r w:rsidRPr="00E203F5">
        <w:rPr>
          <w:i/>
          <w:iCs/>
          <w:sz w:val="22"/>
          <w:szCs w:val="22"/>
        </w:rPr>
        <w:t>human-in-the-loop approach</w:t>
      </w:r>
      <w:r w:rsidRPr="00E203F5">
        <w:rPr>
          <w:sz w:val="22"/>
          <w:szCs w:val="22"/>
        </w:rPr>
        <w:t>. Governments and professional organizations also need to develop ethical standards, regulations, validation guidelines, and monitoring mechanisms for AI-based nutrition applications. This step is necessary so that technology can be used safely, accurately, fairly, and responsibly in supporting the prevention of non-communicable diseases</w:t>
      </w:r>
      <w:r w:rsidR="006578BD">
        <w:rPr>
          <w:sz w:val="22"/>
          <w:szCs w:val="22"/>
        </w:rPr>
        <w:t>.</w:t>
      </w:r>
    </w:p>
    <w:p w14:paraId="61D71737" w14:textId="77777777" w:rsidR="006E7B3C" w:rsidRDefault="006E7B3C" w:rsidP="006E7B3C">
      <w:pPr>
        <w:jc w:val="both"/>
        <w:rPr>
          <w:sz w:val="22"/>
          <w:szCs w:val="22"/>
        </w:rPr>
      </w:pPr>
    </w:p>
    <w:p w14:paraId="1BCBF22D" w14:textId="22DEA545" w:rsidR="002343A9" w:rsidRDefault="006578BD" w:rsidP="006E7B3C">
      <w:pPr>
        <w:jc w:val="both"/>
        <w:rPr>
          <w:i/>
          <w:sz w:val="24"/>
          <w:szCs w:val="24"/>
        </w:rPr>
      </w:pPr>
      <w:r>
        <w:rPr>
          <w:b/>
          <w:sz w:val="24"/>
          <w:szCs w:val="24"/>
        </w:rPr>
        <w:t>REFERENCES</w:t>
      </w:r>
    </w:p>
    <w:p w14:paraId="71B190A6" w14:textId="77777777" w:rsidR="00076C2A" w:rsidRPr="00EC6135" w:rsidRDefault="00076C2A" w:rsidP="00076C2A">
      <w:pPr>
        <w:spacing w:after="160" w:line="278" w:lineRule="auto"/>
        <w:ind w:left="720" w:hanging="720"/>
        <w:jc w:val="both"/>
        <w:rPr>
          <w:sz w:val="22"/>
          <w:szCs w:val="22"/>
        </w:rPr>
      </w:pPr>
      <w:r w:rsidRPr="00EC6135">
        <w:rPr>
          <w:sz w:val="22"/>
          <w:szCs w:val="22"/>
        </w:rPr>
        <w:t xml:space="preserve">Atwal, K. (2024). Artificial intelligence in clinical nutrition and dietetics: A brief overview of current evidence. </w:t>
      </w:r>
      <w:r w:rsidRPr="00EC6135">
        <w:rPr>
          <w:i/>
          <w:iCs/>
          <w:sz w:val="22"/>
          <w:szCs w:val="22"/>
        </w:rPr>
        <w:t>Nutrition in Clinical Practice, 39</w:t>
      </w:r>
      <w:r w:rsidRPr="00EC6135">
        <w:rPr>
          <w:sz w:val="22"/>
          <w:szCs w:val="22"/>
        </w:rPr>
        <w:t xml:space="preserve">(4), 736–742. </w:t>
      </w:r>
      <w:hyperlink r:id="rId11" w:history="1">
        <w:r w:rsidRPr="00EC6135">
          <w:rPr>
            <w:rStyle w:val="Hyperlink"/>
            <w:sz w:val="22"/>
            <w:szCs w:val="22"/>
          </w:rPr>
          <w:t>https://doi.org/10.1002/ncp.11150</w:t>
        </w:r>
      </w:hyperlink>
    </w:p>
    <w:p w14:paraId="4407250B" w14:textId="77777777" w:rsidR="00076C2A" w:rsidRPr="00EC6135" w:rsidRDefault="00076C2A" w:rsidP="00076C2A">
      <w:pPr>
        <w:spacing w:after="160" w:line="278" w:lineRule="auto"/>
        <w:ind w:left="720" w:hanging="720"/>
        <w:jc w:val="both"/>
        <w:rPr>
          <w:sz w:val="22"/>
          <w:szCs w:val="22"/>
        </w:rPr>
      </w:pPr>
      <w:r w:rsidRPr="00EC6135">
        <w:rPr>
          <w:sz w:val="22"/>
          <w:szCs w:val="22"/>
        </w:rPr>
        <w:t xml:space="preserve">Bermingham, K. M., Linenberg, I., Polidori, L., Asnicar, F., </w:t>
      </w:r>
      <w:proofErr w:type="spellStart"/>
      <w:r w:rsidRPr="00EC6135">
        <w:rPr>
          <w:sz w:val="22"/>
          <w:szCs w:val="22"/>
        </w:rPr>
        <w:t>Arrè</w:t>
      </w:r>
      <w:proofErr w:type="spellEnd"/>
      <w:r w:rsidRPr="00EC6135">
        <w:rPr>
          <w:sz w:val="22"/>
          <w:szCs w:val="22"/>
        </w:rPr>
        <w:t xml:space="preserve">, A., Wolf, J., Badri, F., Bernard, H., Capdevila, J., </w:t>
      </w:r>
      <w:proofErr w:type="spellStart"/>
      <w:r w:rsidRPr="00EC6135">
        <w:rPr>
          <w:sz w:val="22"/>
          <w:szCs w:val="22"/>
        </w:rPr>
        <w:t>Bulsiewicz</w:t>
      </w:r>
      <w:proofErr w:type="spellEnd"/>
      <w:r w:rsidRPr="00EC6135">
        <w:rPr>
          <w:sz w:val="22"/>
          <w:szCs w:val="22"/>
        </w:rPr>
        <w:t xml:space="preserve">, W. J., Gardner, C. D., </w:t>
      </w:r>
      <w:proofErr w:type="spellStart"/>
      <w:r w:rsidRPr="00EC6135">
        <w:rPr>
          <w:sz w:val="22"/>
          <w:szCs w:val="22"/>
        </w:rPr>
        <w:t>Ordovas</w:t>
      </w:r>
      <w:proofErr w:type="spellEnd"/>
      <w:r w:rsidRPr="00EC6135">
        <w:rPr>
          <w:sz w:val="22"/>
          <w:szCs w:val="22"/>
        </w:rPr>
        <w:t xml:space="preserve">, J. M., Davies, R., </w:t>
      </w:r>
      <w:proofErr w:type="spellStart"/>
      <w:r w:rsidRPr="00EC6135">
        <w:rPr>
          <w:sz w:val="22"/>
          <w:szCs w:val="22"/>
        </w:rPr>
        <w:t>Hadjigeorgiou</w:t>
      </w:r>
      <w:proofErr w:type="spellEnd"/>
      <w:r w:rsidRPr="00EC6135">
        <w:rPr>
          <w:sz w:val="22"/>
          <w:szCs w:val="22"/>
        </w:rPr>
        <w:t xml:space="preserve">, G., Hall, W. L., Delahanty, L. M., Valdes, A. M., </w:t>
      </w:r>
      <w:proofErr w:type="spellStart"/>
      <w:r w:rsidRPr="00EC6135">
        <w:rPr>
          <w:sz w:val="22"/>
          <w:szCs w:val="22"/>
        </w:rPr>
        <w:t>Segata</w:t>
      </w:r>
      <w:proofErr w:type="spellEnd"/>
      <w:r w:rsidRPr="00EC6135">
        <w:rPr>
          <w:sz w:val="22"/>
          <w:szCs w:val="22"/>
        </w:rPr>
        <w:t xml:space="preserve">, N., Spector, T. D., &amp; Berry, S. E. (2024). Effects of a personalized nutrition program on cardiometabolic health: A randomized controlled trial. </w:t>
      </w:r>
      <w:r w:rsidRPr="00EC6135">
        <w:rPr>
          <w:i/>
          <w:iCs/>
          <w:sz w:val="22"/>
          <w:szCs w:val="22"/>
        </w:rPr>
        <w:t>Nature Medicine, 30</w:t>
      </w:r>
      <w:r w:rsidRPr="00EC6135">
        <w:rPr>
          <w:sz w:val="22"/>
          <w:szCs w:val="22"/>
        </w:rPr>
        <w:t xml:space="preserve">(7), 1888–1897. </w:t>
      </w:r>
      <w:hyperlink r:id="rId12" w:history="1">
        <w:r w:rsidRPr="00EC6135">
          <w:rPr>
            <w:rStyle w:val="Hyperlink"/>
            <w:sz w:val="22"/>
            <w:szCs w:val="22"/>
          </w:rPr>
          <w:t>https://doi.org/10.1038/s41591-024-02951-6</w:t>
        </w:r>
      </w:hyperlink>
    </w:p>
    <w:p w14:paraId="6124F0D5" w14:textId="77777777" w:rsidR="00076C2A" w:rsidRPr="00EC6135" w:rsidRDefault="00076C2A" w:rsidP="00076C2A">
      <w:pPr>
        <w:spacing w:after="160" w:line="278" w:lineRule="auto"/>
        <w:ind w:left="720" w:hanging="720"/>
        <w:jc w:val="both"/>
        <w:rPr>
          <w:sz w:val="22"/>
          <w:szCs w:val="22"/>
        </w:rPr>
      </w:pPr>
      <w:proofErr w:type="spellStart"/>
      <w:r w:rsidRPr="00EC6135">
        <w:rPr>
          <w:sz w:val="22"/>
          <w:szCs w:val="22"/>
        </w:rPr>
        <w:t>Chotwanvirat</w:t>
      </w:r>
      <w:proofErr w:type="spellEnd"/>
      <w:r w:rsidRPr="00EC6135">
        <w:rPr>
          <w:sz w:val="22"/>
          <w:szCs w:val="22"/>
        </w:rPr>
        <w:t xml:space="preserve">, P., </w:t>
      </w:r>
      <w:proofErr w:type="spellStart"/>
      <w:r w:rsidRPr="00EC6135">
        <w:rPr>
          <w:sz w:val="22"/>
          <w:szCs w:val="22"/>
        </w:rPr>
        <w:t>Prachansuwan</w:t>
      </w:r>
      <w:proofErr w:type="spellEnd"/>
      <w:r w:rsidRPr="00EC6135">
        <w:rPr>
          <w:sz w:val="22"/>
          <w:szCs w:val="22"/>
        </w:rPr>
        <w:t xml:space="preserve">, A., </w:t>
      </w:r>
      <w:proofErr w:type="spellStart"/>
      <w:r w:rsidRPr="00EC6135">
        <w:rPr>
          <w:sz w:val="22"/>
          <w:szCs w:val="22"/>
        </w:rPr>
        <w:t>Sridonpai</w:t>
      </w:r>
      <w:proofErr w:type="spellEnd"/>
      <w:r w:rsidRPr="00EC6135">
        <w:rPr>
          <w:sz w:val="22"/>
          <w:szCs w:val="22"/>
        </w:rPr>
        <w:t xml:space="preserve">, P., &amp; </w:t>
      </w:r>
      <w:proofErr w:type="spellStart"/>
      <w:r w:rsidRPr="00EC6135">
        <w:rPr>
          <w:sz w:val="22"/>
          <w:szCs w:val="22"/>
        </w:rPr>
        <w:t>Kriengsinyos</w:t>
      </w:r>
      <w:proofErr w:type="spellEnd"/>
      <w:r w:rsidRPr="00EC6135">
        <w:rPr>
          <w:sz w:val="22"/>
          <w:szCs w:val="22"/>
        </w:rPr>
        <w:t xml:space="preserve">, W. (2024). Advancements in using AI for dietary assessment based on food images: Scoping review. </w:t>
      </w:r>
      <w:r w:rsidRPr="00EC6135">
        <w:rPr>
          <w:i/>
          <w:iCs/>
          <w:sz w:val="22"/>
          <w:szCs w:val="22"/>
        </w:rPr>
        <w:t>Journal of Medical Internet Research, 26</w:t>
      </w:r>
      <w:r w:rsidRPr="00EC6135">
        <w:rPr>
          <w:sz w:val="22"/>
          <w:szCs w:val="22"/>
        </w:rPr>
        <w:t xml:space="preserve">, Article e51432. </w:t>
      </w:r>
      <w:hyperlink r:id="rId13" w:history="1">
        <w:r w:rsidRPr="00EC6135">
          <w:rPr>
            <w:rStyle w:val="Hyperlink"/>
            <w:sz w:val="22"/>
            <w:szCs w:val="22"/>
          </w:rPr>
          <w:t>https://doi.org/10.2196/51432</w:t>
        </w:r>
      </w:hyperlink>
    </w:p>
    <w:p w14:paraId="6138136A" w14:textId="0F8D2CA2" w:rsidR="00076C2A" w:rsidRPr="00EC6135" w:rsidRDefault="00076C2A" w:rsidP="00076C2A">
      <w:pPr>
        <w:spacing w:after="160" w:line="278" w:lineRule="auto"/>
        <w:ind w:left="720" w:hanging="720"/>
        <w:jc w:val="both"/>
        <w:rPr>
          <w:sz w:val="22"/>
          <w:szCs w:val="22"/>
        </w:rPr>
      </w:pPr>
      <w:r w:rsidRPr="00EC6135">
        <w:rPr>
          <w:sz w:val="22"/>
          <w:szCs w:val="22"/>
        </w:rPr>
        <w:t xml:space="preserve">Cofre, S., </w:t>
      </w:r>
      <w:r w:rsidR="00B230FA">
        <w:rPr>
          <w:sz w:val="22"/>
          <w:szCs w:val="22"/>
        </w:rPr>
        <w:t>Sánchez</w:t>
      </w:r>
      <w:r w:rsidRPr="00EC6135">
        <w:rPr>
          <w:sz w:val="22"/>
          <w:szCs w:val="22"/>
        </w:rPr>
        <w:t xml:space="preserve">, C., Quezada-Figueroa, G., &amp; López-Cortés, X. A. (2025). Validity and accuracy of artificial intelligence-based dietary intake assessment methods: A systematic review. </w:t>
      </w:r>
      <w:r w:rsidRPr="00EC6135">
        <w:rPr>
          <w:i/>
          <w:iCs/>
          <w:sz w:val="22"/>
          <w:szCs w:val="22"/>
        </w:rPr>
        <w:t>British Journal of Nutrition, 133</w:t>
      </w:r>
      <w:r w:rsidRPr="00EC6135">
        <w:rPr>
          <w:sz w:val="22"/>
          <w:szCs w:val="22"/>
        </w:rPr>
        <w:t xml:space="preserve">(9), 1241–1253. </w:t>
      </w:r>
      <w:hyperlink r:id="rId14" w:history="1">
        <w:r w:rsidRPr="00EC6135">
          <w:rPr>
            <w:rStyle w:val="Hyperlink"/>
            <w:sz w:val="22"/>
            <w:szCs w:val="22"/>
          </w:rPr>
          <w:t>https://doi.org/10.1017/S0007114525000522</w:t>
        </w:r>
      </w:hyperlink>
    </w:p>
    <w:p w14:paraId="3F4DA2E6" w14:textId="3939B7B4" w:rsidR="00076C2A" w:rsidRPr="00EC6135" w:rsidRDefault="00076C2A" w:rsidP="00076C2A">
      <w:pPr>
        <w:spacing w:after="160" w:line="278" w:lineRule="auto"/>
        <w:ind w:left="720" w:hanging="720"/>
        <w:jc w:val="both"/>
        <w:rPr>
          <w:sz w:val="22"/>
          <w:szCs w:val="22"/>
        </w:rPr>
      </w:pPr>
      <w:proofErr w:type="spellStart"/>
      <w:r w:rsidRPr="00EC6135">
        <w:rPr>
          <w:sz w:val="22"/>
          <w:szCs w:val="22"/>
        </w:rPr>
        <w:t>Detopoulou</w:t>
      </w:r>
      <w:proofErr w:type="spellEnd"/>
      <w:r w:rsidRPr="00EC6135">
        <w:rPr>
          <w:sz w:val="22"/>
          <w:szCs w:val="22"/>
        </w:rPr>
        <w:t xml:space="preserve">, P., </w:t>
      </w:r>
      <w:proofErr w:type="spellStart"/>
      <w:r w:rsidRPr="00EC6135">
        <w:rPr>
          <w:sz w:val="22"/>
          <w:szCs w:val="22"/>
        </w:rPr>
        <w:t>Voulgaridou</w:t>
      </w:r>
      <w:proofErr w:type="spellEnd"/>
      <w:r w:rsidRPr="00EC6135">
        <w:rPr>
          <w:sz w:val="22"/>
          <w:szCs w:val="22"/>
        </w:rPr>
        <w:t xml:space="preserve">, G., Moschos, P., </w:t>
      </w:r>
      <w:proofErr w:type="spellStart"/>
      <w:r w:rsidRPr="00EC6135">
        <w:rPr>
          <w:sz w:val="22"/>
          <w:szCs w:val="22"/>
        </w:rPr>
        <w:t>Levidi</w:t>
      </w:r>
      <w:proofErr w:type="spellEnd"/>
      <w:r w:rsidRPr="00EC6135">
        <w:rPr>
          <w:sz w:val="22"/>
          <w:szCs w:val="22"/>
        </w:rPr>
        <w:t xml:space="preserve">, D., Anastasiou, T., Dedes, V., Diplari, </w:t>
      </w:r>
      <w:r w:rsidR="00B230FA">
        <w:rPr>
          <w:sz w:val="22"/>
          <w:szCs w:val="22"/>
        </w:rPr>
        <w:t>E.-M.</w:t>
      </w:r>
      <w:r w:rsidRPr="00EC6135">
        <w:rPr>
          <w:sz w:val="22"/>
          <w:szCs w:val="22"/>
        </w:rPr>
        <w:t xml:space="preserve">, </w:t>
      </w:r>
      <w:proofErr w:type="spellStart"/>
      <w:r w:rsidRPr="00EC6135">
        <w:rPr>
          <w:sz w:val="22"/>
          <w:szCs w:val="22"/>
        </w:rPr>
        <w:t>Fourfouri</w:t>
      </w:r>
      <w:proofErr w:type="spellEnd"/>
      <w:r w:rsidRPr="00EC6135">
        <w:rPr>
          <w:sz w:val="22"/>
          <w:szCs w:val="22"/>
        </w:rPr>
        <w:t xml:space="preserve">, N., </w:t>
      </w:r>
      <w:proofErr w:type="spellStart"/>
      <w:r w:rsidRPr="00EC6135">
        <w:rPr>
          <w:sz w:val="22"/>
          <w:szCs w:val="22"/>
        </w:rPr>
        <w:t>Giaginis</w:t>
      </w:r>
      <w:proofErr w:type="spellEnd"/>
      <w:r w:rsidRPr="00EC6135">
        <w:rPr>
          <w:sz w:val="22"/>
          <w:szCs w:val="22"/>
        </w:rPr>
        <w:t xml:space="preserve">, C., </w:t>
      </w:r>
      <w:proofErr w:type="spellStart"/>
      <w:r w:rsidRPr="00EC6135">
        <w:rPr>
          <w:sz w:val="22"/>
          <w:szCs w:val="22"/>
        </w:rPr>
        <w:t>Panoutsopoulos</w:t>
      </w:r>
      <w:proofErr w:type="spellEnd"/>
      <w:r w:rsidRPr="00EC6135">
        <w:rPr>
          <w:sz w:val="22"/>
          <w:szCs w:val="22"/>
        </w:rPr>
        <w:t xml:space="preserve">, G. I., &amp; Papadopoulou, S. K. (2023). Artificial intelligence, nutrition, and ethical issues: A mini-review. </w:t>
      </w:r>
      <w:r w:rsidRPr="00EC6135">
        <w:rPr>
          <w:i/>
          <w:iCs/>
          <w:sz w:val="22"/>
          <w:szCs w:val="22"/>
        </w:rPr>
        <w:t>Clinical Nutrition Open Science, 50</w:t>
      </w:r>
      <w:r w:rsidRPr="00EC6135">
        <w:rPr>
          <w:sz w:val="22"/>
          <w:szCs w:val="22"/>
        </w:rPr>
        <w:t xml:space="preserve">, 46–56. </w:t>
      </w:r>
      <w:hyperlink r:id="rId15" w:history="1">
        <w:r w:rsidRPr="00EC6135">
          <w:rPr>
            <w:rStyle w:val="Hyperlink"/>
            <w:sz w:val="22"/>
            <w:szCs w:val="22"/>
          </w:rPr>
          <w:t>https://doi.org/10.1016/j.nutos.2023.07.001</w:t>
        </w:r>
      </w:hyperlink>
    </w:p>
    <w:p w14:paraId="206F1FC8" w14:textId="77777777" w:rsidR="00076C2A" w:rsidRPr="00EC6135" w:rsidRDefault="00076C2A" w:rsidP="00076C2A">
      <w:pPr>
        <w:spacing w:after="160" w:line="278" w:lineRule="auto"/>
        <w:ind w:left="720" w:hanging="720"/>
        <w:jc w:val="both"/>
        <w:rPr>
          <w:sz w:val="22"/>
          <w:szCs w:val="22"/>
        </w:rPr>
      </w:pPr>
      <w:r w:rsidRPr="00EC6135">
        <w:rPr>
          <w:sz w:val="22"/>
          <w:szCs w:val="22"/>
        </w:rPr>
        <w:t xml:space="preserve">Ferrario, P. G., &amp; Gedrich, K. (2024). Machine learning and personalized nutrition: A promising liaison? </w:t>
      </w:r>
      <w:r w:rsidRPr="00EC6135">
        <w:rPr>
          <w:i/>
          <w:iCs/>
          <w:sz w:val="22"/>
          <w:szCs w:val="22"/>
        </w:rPr>
        <w:t>European Journal of Clinical Nutrition, 78</w:t>
      </w:r>
      <w:r w:rsidRPr="00EC6135">
        <w:rPr>
          <w:sz w:val="22"/>
          <w:szCs w:val="22"/>
        </w:rPr>
        <w:t xml:space="preserve">, 74–76. </w:t>
      </w:r>
      <w:hyperlink r:id="rId16" w:history="1">
        <w:r w:rsidRPr="00EC6135">
          <w:rPr>
            <w:rStyle w:val="Hyperlink"/>
            <w:sz w:val="22"/>
            <w:szCs w:val="22"/>
          </w:rPr>
          <w:t>https://doi.org/10.1038/s41430-023-01350-3</w:t>
        </w:r>
      </w:hyperlink>
    </w:p>
    <w:p w14:paraId="62230768" w14:textId="77777777" w:rsidR="00076C2A" w:rsidRPr="00EC6135" w:rsidRDefault="00076C2A" w:rsidP="00076C2A">
      <w:pPr>
        <w:spacing w:after="160" w:line="278" w:lineRule="auto"/>
        <w:ind w:left="720" w:hanging="720"/>
        <w:jc w:val="both"/>
        <w:rPr>
          <w:sz w:val="22"/>
          <w:szCs w:val="22"/>
        </w:rPr>
      </w:pPr>
      <w:r w:rsidRPr="00EC6135">
        <w:rPr>
          <w:sz w:val="22"/>
          <w:szCs w:val="22"/>
        </w:rPr>
        <w:t xml:space="preserve">Joanna Briggs Institute. (2024). </w:t>
      </w:r>
      <w:r w:rsidRPr="00EC6135">
        <w:rPr>
          <w:i/>
          <w:iCs/>
          <w:sz w:val="22"/>
          <w:szCs w:val="22"/>
        </w:rPr>
        <w:t>JBI manual for evidence synthesis</w:t>
      </w:r>
      <w:r w:rsidRPr="00EC6135">
        <w:rPr>
          <w:sz w:val="22"/>
          <w:szCs w:val="22"/>
        </w:rPr>
        <w:t xml:space="preserve">. </w:t>
      </w:r>
      <w:hyperlink r:id="rId17" w:history="1">
        <w:r w:rsidRPr="00EC6135">
          <w:rPr>
            <w:rStyle w:val="Hyperlink"/>
            <w:sz w:val="22"/>
            <w:szCs w:val="22"/>
          </w:rPr>
          <w:t>https://synthesismanual.jbi.global</w:t>
        </w:r>
      </w:hyperlink>
    </w:p>
    <w:p w14:paraId="74E0131E" w14:textId="77777777" w:rsidR="00076C2A" w:rsidRPr="00EC6135" w:rsidRDefault="00076C2A" w:rsidP="00076C2A">
      <w:pPr>
        <w:spacing w:after="160" w:line="278" w:lineRule="auto"/>
        <w:ind w:left="720" w:hanging="720"/>
        <w:jc w:val="both"/>
        <w:rPr>
          <w:sz w:val="22"/>
          <w:szCs w:val="22"/>
        </w:rPr>
      </w:pPr>
      <w:r w:rsidRPr="00EC6135">
        <w:rPr>
          <w:sz w:val="22"/>
          <w:szCs w:val="22"/>
        </w:rPr>
        <w:t xml:space="preserve">Kirk, D., </w:t>
      </w:r>
      <w:proofErr w:type="spellStart"/>
      <w:r w:rsidRPr="00EC6135">
        <w:rPr>
          <w:sz w:val="22"/>
          <w:szCs w:val="22"/>
        </w:rPr>
        <w:t>Catal</w:t>
      </w:r>
      <w:proofErr w:type="spellEnd"/>
      <w:r w:rsidRPr="00EC6135">
        <w:rPr>
          <w:sz w:val="22"/>
          <w:szCs w:val="22"/>
        </w:rPr>
        <w:t xml:space="preserve">, C., &amp; </w:t>
      </w:r>
      <w:proofErr w:type="spellStart"/>
      <w:r w:rsidRPr="00EC6135">
        <w:rPr>
          <w:sz w:val="22"/>
          <w:szCs w:val="22"/>
        </w:rPr>
        <w:t>Tekinerdogan</w:t>
      </w:r>
      <w:proofErr w:type="spellEnd"/>
      <w:r w:rsidRPr="00EC6135">
        <w:rPr>
          <w:sz w:val="22"/>
          <w:szCs w:val="22"/>
        </w:rPr>
        <w:t xml:space="preserve">, B. (2021). Precision nutrition: A systematic literature review. </w:t>
      </w:r>
      <w:r w:rsidRPr="00EC6135">
        <w:rPr>
          <w:i/>
          <w:iCs/>
          <w:sz w:val="22"/>
          <w:szCs w:val="22"/>
        </w:rPr>
        <w:t>Computers in Biology and Medicine, 133</w:t>
      </w:r>
      <w:r w:rsidRPr="00EC6135">
        <w:rPr>
          <w:sz w:val="22"/>
          <w:szCs w:val="22"/>
        </w:rPr>
        <w:t xml:space="preserve">, Article 104365. </w:t>
      </w:r>
      <w:hyperlink r:id="rId18" w:history="1">
        <w:r w:rsidRPr="00EC6135">
          <w:rPr>
            <w:rStyle w:val="Hyperlink"/>
            <w:sz w:val="22"/>
            <w:szCs w:val="22"/>
          </w:rPr>
          <w:t>https://doi.org/10.1016/j.compbiomed.2021.104365</w:t>
        </w:r>
      </w:hyperlink>
    </w:p>
    <w:p w14:paraId="534A6D25" w14:textId="77777777" w:rsidR="00076C2A" w:rsidRPr="00EC6135" w:rsidRDefault="00076C2A" w:rsidP="00076C2A">
      <w:pPr>
        <w:spacing w:after="160" w:line="278" w:lineRule="auto"/>
        <w:ind w:left="720" w:hanging="720"/>
        <w:jc w:val="both"/>
        <w:rPr>
          <w:sz w:val="22"/>
          <w:szCs w:val="22"/>
        </w:rPr>
      </w:pPr>
      <w:r w:rsidRPr="00EC6135">
        <w:rPr>
          <w:sz w:val="22"/>
          <w:szCs w:val="22"/>
        </w:rPr>
        <w:t xml:space="preserve">Li, J., Pandian, V., Davidson, P. M., Song, Y., Chen, N., &amp; Fong, D. Y. T. (2025). Burden and attributable risk factors of non-communicable diseases and subtypes in 204 countries and territories, 1990–2021: A systematic analysis for the Global Burden of Disease Study 2021. </w:t>
      </w:r>
      <w:r w:rsidRPr="00EC6135">
        <w:rPr>
          <w:i/>
          <w:iCs/>
          <w:sz w:val="22"/>
          <w:szCs w:val="22"/>
        </w:rPr>
        <w:t>International Journal of Surgery, 111</w:t>
      </w:r>
      <w:r w:rsidRPr="00EC6135">
        <w:rPr>
          <w:sz w:val="22"/>
          <w:szCs w:val="22"/>
        </w:rPr>
        <w:t xml:space="preserve">(3), 2385–2397. </w:t>
      </w:r>
      <w:hyperlink r:id="rId19" w:history="1">
        <w:r w:rsidRPr="00EC6135">
          <w:rPr>
            <w:rStyle w:val="Hyperlink"/>
            <w:sz w:val="22"/>
            <w:szCs w:val="22"/>
          </w:rPr>
          <w:t>https://doi.org/10.1097/JS9.0000000000002260</w:t>
        </w:r>
      </w:hyperlink>
    </w:p>
    <w:p w14:paraId="6949F909" w14:textId="77777777" w:rsidR="00076C2A" w:rsidRPr="00EC6135" w:rsidRDefault="00076C2A" w:rsidP="00076C2A">
      <w:pPr>
        <w:spacing w:after="160" w:line="278" w:lineRule="auto"/>
        <w:ind w:left="720" w:hanging="720"/>
        <w:jc w:val="both"/>
        <w:rPr>
          <w:sz w:val="22"/>
          <w:szCs w:val="22"/>
        </w:rPr>
      </w:pPr>
      <w:r w:rsidRPr="00EC6135">
        <w:rPr>
          <w:sz w:val="22"/>
          <w:szCs w:val="22"/>
        </w:rPr>
        <w:t xml:space="preserve">Page, M. J., McKenzie, J. E., Bossuyt, P. M., Boutron, I., Hoffmann, T. C., Mulrow, C. D., </w:t>
      </w:r>
      <w:proofErr w:type="spellStart"/>
      <w:r w:rsidRPr="00EC6135">
        <w:rPr>
          <w:sz w:val="22"/>
          <w:szCs w:val="22"/>
        </w:rPr>
        <w:t>Shamseer</w:t>
      </w:r>
      <w:proofErr w:type="spellEnd"/>
      <w:r w:rsidRPr="00EC6135">
        <w:rPr>
          <w:sz w:val="22"/>
          <w:szCs w:val="22"/>
        </w:rPr>
        <w:t xml:space="preserve">, L., Tetzlaff, J. M., Akl, E. A., Brennan, S. E., Chou, R., Glanville, J., Grimshaw, J. M., Hróbjartsson, A., Lalu, M. M., Li, T., Loder, E. W., Mayo-Wilson, E., McDonald, S., . . . Moher, D. (2021). The PRISMA 2020 statement: An updated guideline for reporting systematic reviews. </w:t>
      </w:r>
      <w:r w:rsidRPr="00EC6135">
        <w:rPr>
          <w:i/>
          <w:iCs/>
          <w:sz w:val="22"/>
          <w:szCs w:val="22"/>
        </w:rPr>
        <w:t>BMJ, 372</w:t>
      </w:r>
      <w:r w:rsidRPr="00EC6135">
        <w:rPr>
          <w:sz w:val="22"/>
          <w:szCs w:val="22"/>
        </w:rPr>
        <w:t xml:space="preserve">, Article n71. </w:t>
      </w:r>
      <w:hyperlink r:id="rId20" w:history="1">
        <w:r w:rsidRPr="00EC6135">
          <w:rPr>
            <w:rStyle w:val="Hyperlink"/>
            <w:sz w:val="22"/>
            <w:szCs w:val="22"/>
          </w:rPr>
          <w:t>https://doi.org/10.1136/bmj.n71</w:t>
        </w:r>
      </w:hyperlink>
    </w:p>
    <w:p w14:paraId="55E3AAE1" w14:textId="77777777" w:rsidR="00076C2A" w:rsidRPr="00EC6135" w:rsidRDefault="00076C2A" w:rsidP="00076C2A">
      <w:pPr>
        <w:spacing w:after="160" w:line="278" w:lineRule="auto"/>
        <w:ind w:left="720" w:hanging="720"/>
        <w:jc w:val="both"/>
        <w:rPr>
          <w:sz w:val="22"/>
          <w:szCs w:val="22"/>
        </w:rPr>
      </w:pPr>
      <w:proofErr w:type="spellStart"/>
      <w:r w:rsidRPr="00EC6135">
        <w:rPr>
          <w:sz w:val="22"/>
          <w:szCs w:val="22"/>
        </w:rPr>
        <w:t>Rethlefsen</w:t>
      </w:r>
      <w:proofErr w:type="spellEnd"/>
      <w:r w:rsidRPr="00EC6135">
        <w:rPr>
          <w:sz w:val="22"/>
          <w:szCs w:val="22"/>
        </w:rPr>
        <w:t xml:space="preserve">, M. L., Kirtley, S., Waffenschmidt, S., Ayala, A. P., Moher, D., Page, M. J., Koffel, J. B., &amp; PRISMA-S Group. (2021). PRISMA-S: An extension to the PRISMA statement for reporting literature searches in systematic reviews. </w:t>
      </w:r>
      <w:r w:rsidRPr="00EC6135">
        <w:rPr>
          <w:i/>
          <w:iCs/>
          <w:sz w:val="22"/>
          <w:szCs w:val="22"/>
        </w:rPr>
        <w:t>Systematic Reviews, 10</w:t>
      </w:r>
      <w:r w:rsidRPr="00EC6135">
        <w:rPr>
          <w:sz w:val="22"/>
          <w:szCs w:val="22"/>
        </w:rPr>
        <w:t xml:space="preserve">, Article 39. </w:t>
      </w:r>
      <w:hyperlink r:id="rId21" w:history="1">
        <w:r w:rsidRPr="00EC6135">
          <w:rPr>
            <w:rStyle w:val="Hyperlink"/>
            <w:sz w:val="22"/>
            <w:szCs w:val="22"/>
          </w:rPr>
          <w:t>https://doi.org/10.1186/s13643-020-01542-z</w:t>
        </w:r>
      </w:hyperlink>
    </w:p>
    <w:p w14:paraId="1A1F6710" w14:textId="750BC1F3" w:rsidR="00076C2A" w:rsidRPr="00EC6135" w:rsidRDefault="00076C2A" w:rsidP="00076C2A">
      <w:pPr>
        <w:spacing w:after="160" w:line="278" w:lineRule="auto"/>
        <w:ind w:left="720" w:hanging="720"/>
        <w:jc w:val="both"/>
        <w:rPr>
          <w:sz w:val="22"/>
          <w:szCs w:val="22"/>
        </w:rPr>
      </w:pPr>
      <w:r w:rsidRPr="00EC6135">
        <w:rPr>
          <w:sz w:val="22"/>
          <w:szCs w:val="22"/>
        </w:rPr>
        <w:t xml:space="preserve">Sosa-Holwerda, A., Park, </w:t>
      </w:r>
      <w:r w:rsidR="00B230FA">
        <w:rPr>
          <w:sz w:val="22"/>
          <w:szCs w:val="22"/>
        </w:rPr>
        <w:t>O.-H.</w:t>
      </w:r>
      <w:r w:rsidRPr="00EC6135">
        <w:rPr>
          <w:sz w:val="22"/>
          <w:szCs w:val="22"/>
        </w:rPr>
        <w:t xml:space="preserve">, Albracht-Schulte, K., Niraula, S., Thompson, L., &amp; </w:t>
      </w:r>
      <w:proofErr w:type="spellStart"/>
      <w:r w:rsidRPr="00EC6135">
        <w:rPr>
          <w:sz w:val="22"/>
          <w:szCs w:val="22"/>
        </w:rPr>
        <w:t>Oldewage</w:t>
      </w:r>
      <w:proofErr w:type="spellEnd"/>
      <w:r w:rsidRPr="00EC6135">
        <w:rPr>
          <w:sz w:val="22"/>
          <w:szCs w:val="22"/>
        </w:rPr>
        <w:t xml:space="preserve">-Theron, W. (2024). The role of artificial intelligence in nutrition research: A scoping review. </w:t>
      </w:r>
      <w:r w:rsidRPr="00EC6135">
        <w:rPr>
          <w:i/>
          <w:iCs/>
          <w:sz w:val="22"/>
          <w:szCs w:val="22"/>
        </w:rPr>
        <w:t>Nutrients, 16</w:t>
      </w:r>
      <w:r w:rsidRPr="00EC6135">
        <w:rPr>
          <w:sz w:val="22"/>
          <w:szCs w:val="22"/>
        </w:rPr>
        <w:t xml:space="preserve">(13), Article 2066. </w:t>
      </w:r>
      <w:hyperlink r:id="rId22" w:history="1">
        <w:r w:rsidRPr="00EC6135">
          <w:rPr>
            <w:rStyle w:val="Hyperlink"/>
            <w:sz w:val="22"/>
            <w:szCs w:val="22"/>
          </w:rPr>
          <w:t>https://doi.org/10.3390/nu16132066</w:t>
        </w:r>
      </w:hyperlink>
    </w:p>
    <w:p w14:paraId="41C184D0" w14:textId="77777777" w:rsidR="00076C2A" w:rsidRPr="00EC6135" w:rsidRDefault="00076C2A" w:rsidP="00076C2A">
      <w:pPr>
        <w:spacing w:after="160" w:line="278" w:lineRule="auto"/>
        <w:ind w:left="720" w:hanging="720"/>
        <w:jc w:val="both"/>
        <w:rPr>
          <w:sz w:val="22"/>
          <w:szCs w:val="22"/>
        </w:rPr>
      </w:pPr>
      <w:r w:rsidRPr="00EC6135">
        <w:rPr>
          <w:sz w:val="22"/>
          <w:szCs w:val="22"/>
        </w:rPr>
        <w:t xml:space="preserve">Wang, X., Sun, Z., Xue, H., &amp; An, R. (2025). Artificial intelligence applications to personalized dietary recommendations: A systematic review. </w:t>
      </w:r>
      <w:r w:rsidRPr="00EC6135">
        <w:rPr>
          <w:i/>
          <w:iCs/>
          <w:sz w:val="22"/>
          <w:szCs w:val="22"/>
        </w:rPr>
        <w:t>Healthcare, 13</w:t>
      </w:r>
      <w:r w:rsidRPr="00EC6135">
        <w:rPr>
          <w:sz w:val="22"/>
          <w:szCs w:val="22"/>
        </w:rPr>
        <w:t xml:space="preserve">(12), Article 1417. </w:t>
      </w:r>
      <w:hyperlink r:id="rId23" w:history="1">
        <w:r w:rsidRPr="00EC6135">
          <w:rPr>
            <w:rStyle w:val="Hyperlink"/>
            <w:sz w:val="22"/>
            <w:szCs w:val="22"/>
          </w:rPr>
          <w:t>https://doi.org/10.3390/healthcare13121417</w:t>
        </w:r>
      </w:hyperlink>
    </w:p>
    <w:p w14:paraId="3810FBA6" w14:textId="60CBF65D" w:rsidR="00076C2A" w:rsidRPr="00EC6135" w:rsidRDefault="00076C2A" w:rsidP="00076C2A">
      <w:pPr>
        <w:spacing w:after="160" w:line="278" w:lineRule="auto"/>
        <w:ind w:left="720" w:hanging="720"/>
        <w:jc w:val="both"/>
        <w:rPr>
          <w:sz w:val="22"/>
          <w:szCs w:val="22"/>
        </w:rPr>
      </w:pPr>
      <w:r w:rsidRPr="00EC6135">
        <w:rPr>
          <w:sz w:val="22"/>
          <w:szCs w:val="22"/>
        </w:rPr>
        <w:t xml:space="preserve">Wu, X., Oniani, D., Shao, Z., Arciero, P., </w:t>
      </w:r>
      <w:proofErr w:type="spellStart"/>
      <w:r w:rsidRPr="00EC6135">
        <w:rPr>
          <w:sz w:val="22"/>
          <w:szCs w:val="22"/>
        </w:rPr>
        <w:t>Sivarajkumar</w:t>
      </w:r>
      <w:proofErr w:type="spellEnd"/>
      <w:r w:rsidRPr="00EC6135">
        <w:rPr>
          <w:sz w:val="22"/>
          <w:szCs w:val="22"/>
        </w:rPr>
        <w:t xml:space="preserve">, S., Hilsman, J., Mohr, A. E., Ibe, S., Moharir, M., Li, </w:t>
      </w:r>
      <w:r w:rsidR="00B230FA">
        <w:rPr>
          <w:sz w:val="22"/>
          <w:szCs w:val="22"/>
        </w:rPr>
        <w:t>L.-J.</w:t>
      </w:r>
      <w:r w:rsidRPr="00EC6135">
        <w:rPr>
          <w:sz w:val="22"/>
          <w:szCs w:val="22"/>
        </w:rPr>
        <w:t xml:space="preserve">, Jain, R., Chen, J., &amp; Wang, Y. (2025). A scoping review of artificial intelligence for precision nutrition. </w:t>
      </w:r>
      <w:r w:rsidRPr="00EC6135">
        <w:rPr>
          <w:i/>
          <w:iCs/>
          <w:sz w:val="22"/>
          <w:szCs w:val="22"/>
        </w:rPr>
        <w:t>Advances in Nutrition, 16</w:t>
      </w:r>
      <w:r w:rsidRPr="00EC6135">
        <w:rPr>
          <w:sz w:val="22"/>
          <w:szCs w:val="22"/>
        </w:rPr>
        <w:t xml:space="preserve">(4), Article 100398. </w:t>
      </w:r>
      <w:hyperlink r:id="rId24" w:history="1">
        <w:r w:rsidRPr="00EC6135">
          <w:rPr>
            <w:rStyle w:val="Hyperlink"/>
            <w:sz w:val="22"/>
            <w:szCs w:val="22"/>
          </w:rPr>
          <w:t>https://doi.org/10.1016/j.advnut.2025.100398</w:t>
        </w:r>
      </w:hyperlink>
    </w:p>
    <w:p w14:paraId="7E92F235" w14:textId="77777777" w:rsidR="00076C2A" w:rsidRPr="00EC6135" w:rsidRDefault="00076C2A" w:rsidP="00076C2A">
      <w:pPr>
        <w:spacing w:after="160" w:line="278" w:lineRule="auto"/>
        <w:ind w:left="720" w:hanging="720"/>
        <w:jc w:val="both"/>
        <w:rPr>
          <w:sz w:val="22"/>
          <w:szCs w:val="22"/>
        </w:rPr>
      </w:pPr>
      <w:r w:rsidRPr="00EC6135">
        <w:rPr>
          <w:sz w:val="22"/>
          <w:szCs w:val="22"/>
        </w:rPr>
        <w:t xml:space="preserve">Zheng, J., Wang, J., Shen, J., &amp; An, R. (2024). Artificial intelligence applications to measure food and nutrient intakes: Scoping review. </w:t>
      </w:r>
      <w:r w:rsidRPr="00EC6135">
        <w:rPr>
          <w:i/>
          <w:iCs/>
          <w:sz w:val="22"/>
          <w:szCs w:val="22"/>
        </w:rPr>
        <w:t>Journal of Medical Internet Research, 26</w:t>
      </w:r>
      <w:r w:rsidRPr="00EC6135">
        <w:rPr>
          <w:sz w:val="22"/>
          <w:szCs w:val="22"/>
        </w:rPr>
        <w:t xml:space="preserve">, Article e54557. </w:t>
      </w:r>
      <w:hyperlink r:id="rId25" w:history="1">
        <w:r w:rsidRPr="00EC6135">
          <w:rPr>
            <w:rStyle w:val="Hyperlink"/>
            <w:sz w:val="22"/>
            <w:szCs w:val="22"/>
          </w:rPr>
          <w:t>https://doi.org/10.2196/54557</w:t>
        </w:r>
      </w:hyperlink>
    </w:p>
    <w:p w14:paraId="6662D276" w14:textId="77777777" w:rsidR="00076C2A" w:rsidRPr="00362A0D" w:rsidRDefault="00076C2A" w:rsidP="00076C2A">
      <w:pPr>
        <w:spacing w:after="160" w:line="278" w:lineRule="auto"/>
        <w:ind w:left="720" w:hanging="720"/>
        <w:jc w:val="both"/>
      </w:pPr>
    </w:p>
    <w:p w14:paraId="3DD1FB20" w14:textId="77777777" w:rsidR="0003183A" w:rsidRDefault="0003183A" w:rsidP="0003183A">
      <w:pPr>
        <w:jc w:val="both"/>
      </w:pPr>
    </w:p>
    <w:p w14:paraId="3EEC3428" w14:textId="77777777" w:rsidR="002343A9" w:rsidRDefault="002343A9" w:rsidP="0003183A">
      <w:pPr>
        <w:spacing w:line="240" w:lineRule="auto"/>
        <w:ind w:left="567" w:hanging="567"/>
        <w:jc w:val="both"/>
        <w:rPr>
          <w:rFonts w:ascii="Palatino Linotype" w:eastAsia="Palatino Linotype" w:hAnsi="Palatino Linotype" w:cs="Palatino Linotype"/>
          <w:sz w:val="20"/>
        </w:rPr>
      </w:pPr>
    </w:p>
    <w:sectPr w:rsidR="002343A9">
      <w:headerReference w:type="even" r:id="rId26"/>
      <w:headerReference w:type="default" r:id="rId27"/>
      <w:footerReference w:type="even" r:id="rId28"/>
      <w:footerReference w:type="default" r:id="rId29"/>
      <w:headerReference w:type="first" r:id="rId30"/>
      <w:footerReference w:type="first" r:id="rId31"/>
      <w:pgSz w:w="11907" w:h="16840"/>
      <w:pgMar w:top="1701" w:right="1418" w:bottom="1418" w:left="1418" w:header="567" w:footer="567" w:gutter="0"/>
      <w:pgNumType w:start="17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AC062" w14:textId="77777777" w:rsidR="00207366" w:rsidRDefault="00207366">
      <w:pPr>
        <w:spacing w:line="240" w:lineRule="auto"/>
      </w:pPr>
      <w:r>
        <w:separator/>
      </w:r>
    </w:p>
  </w:endnote>
  <w:endnote w:type="continuationSeparator" w:id="0">
    <w:p w14:paraId="35320A95" w14:textId="77777777" w:rsidR="00207366" w:rsidRDefault="002073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91A137E-01F8-41AF-A5D3-FC23E293BF6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embedBold r:id="rId2" w:fontKey="{1DEFD76A-971C-46AC-B406-499ECBF9FB3C}"/>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1525DFB0-8E0D-445B-9EDA-D53A3C050D1A}"/>
  </w:font>
  <w:font w:name="Palatino Linotype">
    <w:panose1 w:val="02040502050505030304"/>
    <w:charset w:val="00"/>
    <w:family w:val="roman"/>
    <w:pitch w:val="variable"/>
    <w:sig w:usb0="E0000287" w:usb1="40000013" w:usb2="00000000" w:usb3="00000000" w:csb0="0000019F" w:csb1="00000000"/>
    <w:embedRegular r:id="rId4" w:fontKey="{3D5030B5-CE1D-40BE-AD37-6AFB3C681847}"/>
    <w:embedBold r:id="rId5" w:fontKey="{DA9874C0-2F2A-45EE-88EB-C3A2BC12C9B5}"/>
  </w:font>
  <w:font w:name="Calibri">
    <w:panose1 w:val="020F0502020204030204"/>
    <w:charset w:val="00"/>
    <w:family w:val="swiss"/>
    <w:pitch w:val="variable"/>
    <w:sig w:usb0="E4002EFF" w:usb1="C200247B" w:usb2="00000009" w:usb3="00000000" w:csb0="000001FF" w:csb1="00000000"/>
    <w:embedRegular r:id="rId6" w:fontKey="{232CB67F-A99D-4F37-BC9F-5F8C7F9882B6}"/>
  </w:font>
  <w:font w:name="Constantia">
    <w:panose1 w:val="02030602050306030303"/>
    <w:charset w:val="00"/>
    <w:family w:val="roman"/>
    <w:pitch w:val="variable"/>
    <w:sig w:usb0="A00002EF" w:usb1="4000204B" w:usb2="00000000" w:usb3="00000000" w:csb0="0000019F" w:csb1="00000000"/>
    <w:embedRegular r:id="rId7" w:fontKey="{E889FFF7-5FAF-4D2D-8FD0-ADD479B3C3C5}"/>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8" w:fontKey="{5AEAE5F1-5DFB-4DE3-94CB-2F7B2D4ACDF5}"/>
    <w:embedItalic r:id="rId9" w:fontKey="{ADB7D8BC-9826-41DF-B544-A8E5BFBD5ACA}"/>
  </w:font>
  <w:font w:name="Calibri Light">
    <w:panose1 w:val="020F0302020204030204"/>
    <w:charset w:val="00"/>
    <w:family w:val="swiss"/>
    <w:pitch w:val="variable"/>
    <w:sig w:usb0="E4002EFF" w:usb1="C200247B" w:usb2="00000009" w:usb3="00000000" w:csb0="000001FF" w:csb1="00000000"/>
    <w:embedRegular r:id="rId10" w:fontKey="{8AF04BE8-52A8-498C-B8B8-3ED0A69906F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A0985" w14:textId="39C47008" w:rsidR="002343A9" w:rsidRDefault="00000000">
    <w:pPr>
      <w:widowControl/>
      <w:pBdr>
        <w:top w:val="nil"/>
        <w:left w:val="nil"/>
        <w:bottom w:val="nil"/>
        <w:right w:val="nil"/>
        <w:between w:val="nil"/>
      </w:pBdr>
      <w:tabs>
        <w:tab w:val="center" w:pos="4706"/>
        <w:tab w:val="right" w:pos="9356"/>
      </w:tabs>
      <w:spacing w:line="240" w:lineRule="auto"/>
      <w:rPr>
        <w:rFonts w:eastAsia="Times New Roman"/>
        <w:i/>
        <w:color w:val="000000"/>
        <w:sz w:val="20"/>
      </w:rPr>
    </w:pPr>
    <w:r>
      <w:rPr>
        <w:rFonts w:eastAsia="Times New Roman"/>
        <w:color w:val="000000"/>
        <w:sz w:val="20"/>
      </w:rPr>
      <w:tab/>
    </w:r>
    <w:r>
      <w:rPr>
        <w:noProof/>
      </w:rPr>
      <mc:AlternateContent>
        <mc:Choice Requires="wps">
          <w:drawing>
            <wp:anchor distT="0" distB="0" distL="114300" distR="114300" simplePos="0" relativeHeight="251663360" behindDoc="0" locked="0" layoutInCell="1" hidden="0" allowOverlap="1" wp14:anchorId="30FBC266" wp14:editId="455DA151">
              <wp:simplePos x="0" y="0"/>
              <wp:positionH relativeFrom="column">
                <wp:posOffset>177800</wp:posOffset>
              </wp:positionH>
              <wp:positionV relativeFrom="paragraph">
                <wp:posOffset>0</wp:posOffset>
              </wp:positionV>
              <wp:extent cx="0" cy="142619"/>
              <wp:effectExtent l="0" t="0" r="0" b="0"/>
              <wp:wrapNone/>
              <wp:docPr id="1794683485" name="Konektor Panah Lurus 1794683485"/>
              <wp:cNvGraphicFramePr/>
              <a:graphic xmlns:a="http://schemas.openxmlformats.org/drawingml/2006/main">
                <a:graphicData uri="http://schemas.microsoft.com/office/word/2010/wordprocessingShape">
                  <wps:wsp>
                    <wps:cNvCnPr/>
                    <wps:spPr>
                      <a:xfrm>
                        <a:off x="5346000" y="3708691"/>
                        <a:ext cx="0" cy="142619"/>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distT="0" distB="0" distL="114300" distR="114300" simplePos="0" relativeHeight="0" behindDoc="0" locked="0" layoutInCell="1" hidden="0" allowOverlap="1">
              <wp:simplePos x="0" y="0"/>
              <wp:positionH relativeFrom="column">
                <wp:posOffset>177800</wp:posOffset>
              </wp:positionH>
              <wp:positionV relativeFrom="paragraph">
                <wp:posOffset>0</wp:posOffset>
              </wp:positionV>
              <wp:extent cx="0" cy="142619"/>
              <wp:effectExtent l="0" t="0" r="0" b="0"/>
              <wp:wrapNone/>
              <wp:docPr id="1794683485"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0" cy="142619"/>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24C0D" w14:textId="69838BD2" w:rsidR="002343A9" w:rsidRDefault="00000000">
    <w:pPr>
      <w:widowControl/>
      <w:pBdr>
        <w:top w:val="nil"/>
        <w:left w:val="nil"/>
        <w:bottom w:val="nil"/>
        <w:right w:val="nil"/>
        <w:between w:val="nil"/>
      </w:pBdr>
      <w:tabs>
        <w:tab w:val="right" w:pos="10080"/>
      </w:tabs>
      <w:spacing w:line="240" w:lineRule="auto"/>
      <w:ind w:right="140"/>
      <w:jc w:val="right"/>
      <w:rPr>
        <w:rFonts w:eastAsia="Times New Roman"/>
        <w:color w:val="000000"/>
        <w:sz w:val="20"/>
      </w:rPr>
    </w:pPr>
    <w:r>
      <w:rPr>
        <w:rFonts w:eastAsia="Times New Roman"/>
        <w:i/>
        <w:color w:val="000000"/>
        <w:sz w:val="20"/>
      </w:rPr>
      <w:t xml:space="preserve">    </w:t>
    </w:r>
    <w:r>
      <w:rPr>
        <w:rFonts w:eastAsia="Times New Roman"/>
        <w:i/>
        <w:color w:val="000000"/>
        <w:sz w:val="20"/>
      </w:rPr>
      <w:tab/>
    </w:r>
    <w:r>
      <w:rPr>
        <w:noProof/>
      </w:rPr>
      <mc:AlternateContent>
        <mc:Choice Requires="wps">
          <w:drawing>
            <wp:anchor distT="0" distB="0" distL="114300" distR="114300" simplePos="0" relativeHeight="251662336" behindDoc="0" locked="0" layoutInCell="1" hidden="0" allowOverlap="1" wp14:anchorId="3402673C" wp14:editId="5B3F3539">
              <wp:simplePos x="0" y="0"/>
              <wp:positionH relativeFrom="column">
                <wp:posOffset>5461000</wp:posOffset>
              </wp:positionH>
              <wp:positionV relativeFrom="paragraph">
                <wp:posOffset>0</wp:posOffset>
              </wp:positionV>
              <wp:extent cx="0" cy="156881"/>
              <wp:effectExtent l="0" t="0" r="0" b="0"/>
              <wp:wrapNone/>
              <wp:docPr id="1794683488" name="Konektor Panah Lurus 1794683488"/>
              <wp:cNvGraphicFramePr/>
              <a:graphic xmlns:a="http://schemas.openxmlformats.org/drawingml/2006/main">
                <a:graphicData uri="http://schemas.microsoft.com/office/word/2010/wordprocessingShape">
                  <wps:wsp>
                    <wps:cNvCnPr/>
                    <wps:spPr>
                      <a:xfrm>
                        <a:off x="5346000" y="3701560"/>
                        <a:ext cx="0" cy="156881"/>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distT="0" distB="0" distL="114300" distR="114300" simplePos="0" relativeHeight="0" behindDoc="0" locked="0" layoutInCell="1" hidden="0" allowOverlap="1">
              <wp:simplePos x="0" y="0"/>
              <wp:positionH relativeFrom="column">
                <wp:posOffset>5461000</wp:posOffset>
              </wp:positionH>
              <wp:positionV relativeFrom="paragraph">
                <wp:posOffset>0</wp:posOffset>
              </wp:positionV>
              <wp:extent cx="0" cy="156881"/>
              <wp:effectExtent l="0" t="0" r="0" b="0"/>
              <wp:wrapNone/>
              <wp:docPr id="1794683488"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0" cy="156881"/>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2F409" w14:textId="77777777" w:rsidR="002343A9" w:rsidRDefault="002343A9"/>
  <w:p w14:paraId="1438E220" w14:textId="77777777" w:rsidR="002343A9" w:rsidRDefault="002343A9">
    <w:pPr>
      <w:spacing w:line="240" w:lineRule="auto"/>
      <w:ind w:left="851" w:right="850"/>
      <w:rPr>
        <w:rFonts w:ascii="Palatino Linotype" w:eastAsia="Palatino Linotype" w:hAnsi="Palatino Linotype" w:cs="Palatino Linotype"/>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93FD4" w14:textId="77777777" w:rsidR="00207366" w:rsidRDefault="00207366">
      <w:pPr>
        <w:spacing w:line="240" w:lineRule="auto"/>
      </w:pPr>
      <w:r>
        <w:separator/>
      </w:r>
    </w:p>
  </w:footnote>
  <w:footnote w:type="continuationSeparator" w:id="0">
    <w:p w14:paraId="78566977" w14:textId="77777777" w:rsidR="00207366" w:rsidRDefault="0020736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9984E" w14:textId="15E6C766" w:rsidR="002343A9" w:rsidRDefault="00FD15A2">
    <w:pPr>
      <w:widowControl/>
      <w:pBdr>
        <w:top w:val="nil"/>
        <w:left w:val="nil"/>
        <w:bottom w:val="nil"/>
        <w:right w:val="nil"/>
        <w:between w:val="nil"/>
      </w:pBdr>
      <w:tabs>
        <w:tab w:val="center" w:pos="4706"/>
        <w:tab w:val="right" w:pos="9356"/>
      </w:tabs>
      <w:spacing w:after="80" w:line="230" w:lineRule="auto"/>
      <w:rPr>
        <w:rFonts w:eastAsia="Times New Roman"/>
        <w:i/>
        <w:color w:val="000000"/>
        <w:sz w:val="22"/>
        <w:szCs w:val="22"/>
      </w:rPr>
    </w:pPr>
    <w:r>
      <w:rPr>
        <w:rFonts w:eastAsia="Times New Roman"/>
        <w:i/>
        <w:color w:val="000000"/>
        <w:sz w:val="22"/>
        <w:szCs w:val="22"/>
      </w:rPr>
      <w:t>ISJHS: Ibnu Sina Journal of Health Sciences</w:t>
    </w:r>
  </w:p>
  <w:p w14:paraId="53E4D61B" w14:textId="4B569FA2" w:rsidR="002343A9" w:rsidRDefault="00000000">
    <w:pPr>
      <w:widowControl/>
      <w:pBdr>
        <w:top w:val="nil"/>
        <w:left w:val="nil"/>
        <w:bottom w:val="nil"/>
        <w:right w:val="nil"/>
        <w:between w:val="nil"/>
      </w:pBdr>
      <w:tabs>
        <w:tab w:val="center" w:pos="4706"/>
        <w:tab w:val="right" w:pos="9356"/>
      </w:tabs>
      <w:spacing w:line="240" w:lineRule="auto"/>
      <w:rPr>
        <w:rFonts w:eastAsia="Times New Roman"/>
        <w:i/>
        <w:color w:val="000000"/>
        <w:sz w:val="22"/>
        <w:szCs w:val="22"/>
      </w:rPr>
    </w:pPr>
    <w:r>
      <w:rPr>
        <w:rFonts w:eastAsia="Times New Roman"/>
        <w:color w:val="000000"/>
        <w:sz w:val="22"/>
        <w:szCs w:val="22"/>
      </w:rPr>
      <w:t xml:space="preserve">E-ISSN: </w:t>
    </w:r>
    <w:proofErr w:type="spellStart"/>
    <w:r>
      <w:rPr>
        <w:rFonts w:eastAsia="Times New Roman"/>
        <w:color w:val="000000"/>
        <w:sz w:val="22"/>
        <w:szCs w:val="22"/>
      </w:rPr>
      <w:t>xxxx-xxxx</w:t>
    </w:r>
    <w:proofErr w:type="spellEnd"/>
    <w:r>
      <w:rPr>
        <w:rFonts w:eastAsia="Times New Roman"/>
        <w:color w:val="000000"/>
        <w:sz w:val="22"/>
        <w:szCs w:val="22"/>
      </w:rPr>
      <w:t xml:space="preserve">; P-ISSN: </w:t>
    </w:r>
    <w:proofErr w:type="spellStart"/>
    <w:r>
      <w:rPr>
        <w:rFonts w:eastAsia="Times New Roman"/>
        <w:color w:val="000000"/>
        <w:sz w:val="22"/>
        <w:szCs w:val="22"/>
      </w:rPr>
      <w:t>xxxx-xxxx</w:t>
    </w:r>
    <w:proofErr w:type="spellEnd"/>
    <w:r>
      <w:rPr>
        <w:noProof/>
      </w:rPr>
      <mc:AlternateContent>
        <mc:Choice Requires="wps">
          <w:drawing>
            <wp:anchor distT="0" distB="0" distL="114300" distR="114300" simplePos="0" relativeHeight="251661312" behindDoc="0" locked="0" layoutInCell="1" hidden="0" allowOverlap="1" wp14:anchorId="243D5CF5" wp14:editId="6123DBCC">
              <wp:simplePos x="0" y="0"/>
              <wp:positionH relativeFrom="column">
                <wp:posOffset>1</wp:posOffset>
              </wp:positionH>
              <wp:positionV relativeFrom="paragraph">
                <wp:posOffset>254000</wp:posOffset>
              </wp:positionV>
              <wp:extent cx="0" cy="12700"/>
              <wp:effectExtent l="0" t="0" r="0" b="0"/>
              <wp:wrapNone/>
              <wp:docPr id="1794683487" name="Konektor Panah Lurus 1794683487"/>
              <wp:cNvGraphicFramePr/>
              <a:graphic xmlns:a="http://schemas.openxmlformats.org/drawingml/2006/main">
                <a:graphicData uri="http://schemas.microsoft.com/office/word/2010/wordprocessingShape">
                  <wps:wsp>
                    <wps:cNvCnPr/>
                    <wps:spPr>
                      <a:xfrm>
                        <a:off x="2470720" y="3780000"/>
                        <a:ext cx="5750560"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distT="0" distB="0" distL="114300" distR="114300" simplePos="0" relativeHeight="0" behindDoc="0" locked="0" layoutInCell="1" hidden="0" allowOverlap="1">
              <wp:simplePos x="0" y="0"/>
              <wp:positionH relativeFrom="column">
                <wp:posOffset>1</wp:posOffset>
              </wp:positionH>
              <wp:positionV relativeFrom="paragraph">
                <wp:posOffset>254000</wp:posOffset>
              </wp:positionV>
              <wp:extent cx="0" cy="12700"/>
              <wp:effectExtent l="0" t="0" r="0" b="0"/>
              <wp:wrapNone/>
              <wp:docPr id="1794683487"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0CF6A79F" w14:textId="77777777" w:rsidR="002343A9" w:rsidRDefault="002343A9">
    <w:pPr>
      <w:widowControl/>
      <w:pBdr>
        <w:top w:val="nil"/>
        <w:left w:val="nil"/>
        <w:bottom w:val="nil"/>
        <w:right w:val="nil"/>
        <w:between w:val="nil"/>
      </w:pBdr>
      <w:tabs>
        <w:tab w:val="center" w:pos="4706"/>
        <w:tab w:val="right" w:pos="9356"/>
      </w:tabs>
      <w:spacing w:after="80" w:line="230" w:lineRule="auto"/>
      <w:rPr>
        <w:rFonts w:eastAsia="Times New Roman"/>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4FE5" w14:textId="0897E006" w:rsidR="00AF1A93" w:rsidRPr="002344BB" w:rsidRDefault="00E65921" w:rsidP="00E65921">
    <w:pPr>
      <w:jc w:val="center"/>
      <w:rPr>
        <w:i/>
        <w:iCs/>
        <w:sz w:val="20"/>
      </w:rPr>
    </w:pPr>
    <w:r w:rsidRPr="00B16FC7">
      <w:rPr>
        <w:i/>
        <w:iCs/>
        <w:sz w:val="20"/>
      </w:rPr>
      <w:t xml:space="preserve">Anggun </w:t>
    </w:r>
    <w:proofErr w:type="spellStart"/>
    <w:r w:rsidRPr="00B16FC7">
      <w:rPr>
        <w:i/>
        <w:iCs/>
        <w:sz w:val="20"/>
      </w:rPr>
      <w:t>Sintya</w:t>
    </w:r>
    <w:proofErr w:type="spellEnd"/>
    <w:r w:rsidRPr="00B16FC7">
      <w:rPr>
        <w:i/>
        <w:iCs/>
        <w:sz w:val="20"/>
      </w:rPr>
      <w:t xml:space="preserve"> Aluna</w:t>
    </w:r>
    <w:r w:rsidR="00AF1A93">
      <w:rPr>
        <w:rFonts w:eastAsia="Times New Roman"/>
        <w:i/>
        <w:color w:val="000000"/>
        <w:sz w:val="20"/>
      </w:rPr>
      <w:t xml:space="preserve">/ </w:t>
    </w:r>
    <w:bookmarkStart w:id="0" w:name="_Hlk235716769"/>
    <w:r w:rsidRPr="00B16FC7">
      <w:rPr>
        <w:i/>
        <w:iCs/>
        <w:sz w:val="20"/>
      </w:rPr>
      <w:t>The Utilization of Artificial Intelligence in Improving the Accuracy of Personal Nutrition Recommendations for the Prevention of Non-Communicable Diseases: A Systematic Review</w:t>
    </w:r>
  </w:p>
  <w:bookmarkEnd w:id="0"/>
  <w:p w14:paraId="45BA846A" w14:textId="66B7C3BB" w:rsidR="002343A9" w:rsidRDefault="00000000">
    <w:pPr>
      <w:widowControl/>
      <w:pBdr>
        <w:top w:val="nil"/>
        <w:left w:val="nil"/>
        <w:bottom w:val="nil"/>
        <w:right w:val="nil"/>
        <w:between w:val="nil"/>
      </w:pBdr>
      <w:tabs>
        <w:tab w:val="center" w:pos="4706"/>
        <w:tab w:val="right" w:pos="9356"/>
      </w:tabs>
      <w:spacing w:after="80" w:line="230" w:lineRule="auto"/>
      <w:jc w:val="both"/>
      <w:rPr>
        <w:rFonts w:eastAsia="Times New Roman"/>
        <w:i/>
        <w:color w:val="000000"/>
        <w:sz w:val="20"/>
      </w:rPr>
    </w:pPr>
    <w:r>
      <w:rPr>
        <w:noProof/>
      </w:rPr>
      <mc:AlternateContent>
        <mc:Choice Requires="wps">
          <w:drawing>
            <wp:anchor distT="0" distB="0" distL="114300" distR="114300" simplePos="0" relativeHeight="251658240" behindDoc="0" locked="0" layoutInCell="1" hidden="0" allowOverlap="1" wp14:anchorId="37B4152D" wp14:editId="129D20B0">
              <wp:simplePos x="0" y="0"/>
              <wp:positionH relativeFrom="column">
                <wp:posOffset>12701</wp:posOffset>
              </wp:positionH>
              <wp:positionV relativeFrom="paragraph">
                <wp:posOffset>203200</wp:posOffset>
              </wp:positionV>
              <wp:extent cx="0" cy="12700"/>
              <wp:effectExtent l="0" t="0" r="0" b="0"/>
              <wp:wrapNone/>
              <wp:docPr id="1794683486" name="Konektor Panah Lurus 1794683486"/>
              <wp:cNvGraphicFramePr/>
              <a:graphic xmlns:a="http://schemas.openxmlformats.org/drawingml/2006/main">
                <a:graphicData uri="http://schemas.microsoft.com/office/word/2010/wordprocessingShape">
                  <wps:wsp>
                    <wps:cNvCnPr/>
                    <wps:spPr>
                      <a:xfrm>
                        <a:off x="2470720" y="3780000"/>
                        <a:ext cx="5750560"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distT="0" distB="0" distL="114300" distR="114300" simplePos="0" relativeHeight="0" behindDoc="0" locked="0" layoutInCell="1" hidden="0" allowOverlap="1">
              <wp:simplePos x="0" y="0"/>
              <wp:positionH relativeFrom="column">
                <wp:posOffset>12701</wp:posOffset>
              </wp:positionH>
              <wp:positionV relativeFrom="paragraph">
                <wp:posOffset>203200</wp:posOffset>
              </wp:positionV>
              <wp:extent cx="0" cy="12700"/>
              <wp:effectExtent l="0" t="0" r="0" b="0"/>
              <wp:wrapNone/>
              <wp:docPr id="1794683486"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9D8EC" w14:textId="4F985590" w:rsidR="002343A9" w:rsidRDefault="00FD15A2">
    <w:pPr>
      <w:rPr>
        <w:sz w:val="20"/>
      </w:rPr>
    </w:pPr>
    <w:r>
      <w:rPr>
        <w:noProof/>
      </w:rPr>
      <w:drawing>
        <wp:anchor distT="0" distB="0" distL="114300" distR="114300" simplePos="0" relativeHeight="251664384" behindDoc="0" locked="0" layoutInCell="1" allowOverlap="1" wp14:anchorId="484BDBE8" wp14:editId="768BC28A">
          <wp:simplePos x="0" y="0"/>
          <wp:positionH relativeFrom="column">
            <wp:posOffset>5109210</wp:posOffset>
          </wp:positionH>
          <wp:positionV relativeFrom="paragraph">
            <wp:posOffset>-99060</wp:posOffset>
          </wp:positionV>
          <wp:extent cx="622300" cy="886460"/>
          <wp:effectExtent l="0" t="0" r="0" b="2540"/>
          <wp:wrapNone/>
          <wp:docPr id="1556592018" name="Gam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592018" name="Gambar 5"/>
                  <pic:cNvPicPr/>
                </pic:nvPicPr>
                <pic:blipFill>
                  <a:blip r:embed="rId1">
                    <a:extLst>
                      <a:ext uri="{28A0092B-C50C-407E-A947-70E740481C1C}">
                        <a14:useLocalDpi xmlns:a14="http://schemas.microsoft.com/office/drawing/2010/main" val="0"/>
                      </a:ext>
                    </a:extLst>
                  </a:blip>
                  <a:stretch>
                    <a:fillRect/>
                  </a:stretch>
                </pic:blipFill>
                <pic:spPr>
                  <a:xfrm>
                    <a:off x="0" y="0"/>
                    <a:ext cx="622300" cy="886460"/>
                  </a:xfrm>
                  <a:prstGeom prst="rect">
                    <a:avLst/>
                  </a:prstGeom>
                </pic:spPr>
              </pic:pic>
            </a:graphicData>
          </a:graphic>
          <wp14:sizeRelH relativeFrom="page">
            <wp14:pctWidth>0</wp14:pctWidth>
          </wp14:sizeRelH>
          <wp14:sizeRelV relativeFrom="page">
            <wp14:pctHeight>0</wp14:pctHeight>
          </wp14:sizeRelV>
        </wp:anchor>
      </w:drawing>
    </w:r>
  </w:p>
  <w:tbl>
    <w:tblPr>
      <w:tblStyle w:val="a3"/>
      <w:tblW w:w="9218" w:type="dxa"/>
      <w:jc w:val="center"/>
      <w:tblBorders>
        <w:top w:val="nil"/>
        <w:left w:val="nil"/>
        <w:bottom w:val="nil"/>
        <w:right w:val="nil"/>
        <w:insideH w:val="nil"/>
        <w:insideV w:val="nil"/>
      </w:tblBorders>
      <w:tblLayout w:type="fixed"/>
      <w:tblLook w:val="0400" w:firstRow="0" w:lastRow="0" w:firstColumn="0" w:lastColumn="0" w:noHBand="0" w:noVBand="1"/>
    </w:tblPr>
    <w:tblGrid>
      <w:gridCol w:w="6799"/>
      <w:gridCol w:w="2419"/>
    </w:tblGrid>
    <w:tr w:rsidR="002343A9" w14:paraId="0605B528" w14:textId="77777777">
      <w:trPr>
        <w:jc w:val="center"/>
      </w:trPr>
      <w:tc>
        <w:tcPr>
          <w:tcW w:w="6799" w:type="dxa"/>
        </w:tcPr>
        <w:p w14:paraId="5B83BD61" w14:textId="0749B868" w:rsidR="002343A9" w:rsidRDefault="00FD15A2">
          <w:pPr>
            <w:widowControl/>
            <w:pBdr>
              <w:top w:val="nil"/>
              <w:left w:val="nil"/>
              <w:bottom w:val="nil"/>
              <w:right w:val="nil"/>
              <w:between w:val="nil"/>
            </w:pBdr>
            <w:tabs>
              <w:tab w:val="center" w:pos="4706"/>
              <w:tab w:val="right" w:pos="9356"/>
            </w:tabs>
            <w:spacing w:line="230" w:lineRule="auto"/>
            <w:rPr>
              <w:rFonts w:eastAsia="Times New Roman"/>
              <w:color w:val="000000"/>
              <w:sz w:val="22"/>
              <w:szCs w:val="22"/>
            </w:rPr>
          </w:pPr>
          <w:r>
            <w:rPr>
              <w:rFonts w:eastAsia="Times New Roman"/>
              <w:color w:val="000000"/>
              <w:sz w:val="22"/>
              <w:szCs w:val="22"/>
            </w:rPr>
            <w:t>ISJHS: Ibnu Sina Journal of Health Sciences</w:t>
          </w:r>
        </w:p>
        <w:p w14:paraId="68050B07" w14:textId="2C221BA0" w:rsidR="002343A9" w:rsidRDefault="00000000">
          <w:pPr>
            <w:widowControl/>
            <w:pBdr>
              <w:top w:val="nil"/>
              <w:left w:val="nil"/>
              <w:bottom w:val="nil"/>
              <w:right w:val="nil"/>
              <w:between w:val="nil"/>
            </w:pBdr>
            <w:tabs>
              <w:tab w:val="center" w:pos="4706"/>
              <w:tab w:val="right" w:pos="9356"/>
            </w:tabs>
            <w:spacing w:line="240" w:lineRule="auto"/>
            <w:rPr>
              <w:rFonts w:eastAsia="Times New Roman"/>
              <w:color w:val="000000"/>
              <w:sz w:val="22"/>
              <w:szCs w:val="22"/>
            </w:rPr>
          </w:pPr>
          <w:r>
            <w:rPr>
              <w:rFonts w:eastAsia="Times New Roman"/>
              <w:color w:val="000000"/>
              <w:sz w:val="22"/>
              <w:szCs w:val="22"/>
            </w:rPr>
            <w:t xml:space="preserve">Volume </w:t>
          </w:r>
          <w:r w:rsidR="00CA47FB">
            <w:rPr>
              <w:rFonts w:eastAsia="Times New Roman"/>
              <w:color w:val="000000"/>
              <w:sz w:val="22"/>
              <w:szCs w:val="22"/>
            </w:rPr>
            <w:t>1</w:t>
          </w:r>
          <w:r>
            <w:rPr>
              <w:rFonts w:eastAsia="Times New Roman"/>
              <w:color w:val="000000"/>
              <w:sz w:val="22"/>
              <w:szCs w:val="22"/>
            </w:rPr>
            <w:t xml:space="preserve"> Number </w:t>
          </w:r>
          <w:r w:rsidR="00CA47FB">
            <w:rPr>
              <w:rFonts w:eastAsia="Times New Roman"/>
              <w:color w:val="000000"/>
              <w:sz w:val="22"/>
              <w:szCs w:val="22"/>
            </w:rPr>
            <w:t>2</w:t>
          </w:r>
          <w:r>
            <w:rPr>
              <w:rFonts w:eastAsia="Times New Roman"/>
              <w:color w:val="000000"/>
              <w:sz w:val="22"/>
              <w:szCs w:val="22"/>
            </w:rPr>
            <w:t xml:space="preserve">, </w:t>
          </w:r>
          <w:r w:rsidR="00CA47FB">
            <w:rPr>
              <w:rFonts w:eastAsia="Times New Roman"/>
              <w:color w:val="000000"/>
              <w:sz w:val="22"/>
              <w:szCs w:val="22"/>
            </w:rPr>
            <w:t>Juny</w:t>
          </w:r>
          <w:r>
            <w:rPr>
              <w:rFonts w:eastAsia="Times New Roman"/>
              <w:color w:val="000000"/>
              <w:sz w:val="22"/>
              <w:szCs w:val="22"/>
            </w:rPr>
            <w:t xml:space="preserve"> (</w:t>
          </w:r>
          <w:r w:rsidR="00FD4F17">
            <w:rPr>
              <w:rFonts w:eastAsia="Times New Roman"/>
              <w:color w:val="000000"/>
              <w:sz w:val="22"/>
              <w:szCs w:val="22"/>
            </w:rPr>
            <w:t>2026</w:t>
          </w:r>
          <w:r>
            <w:rPr>
              <w:rFonts w:eastAsia="Times New Roman"/>
              <w:color w:val="000000"/>
              <w:sz w:val="22"/>
              <w:szCs w:val="22"/>
            </w:rPr>
            <w:t>)</w:t>
          </w:r>
        </w:p>
        <w:p w14:paraId="2484EEC0" w14:textId="1A86589F" w:rsidR="002343A9" w:rsidRDefault="00000000">
          <w:pPr>
            <w:widowControl/>
            <w:pBdr>
              <w:top w:val="nil"/>
              <w:left w:val="nil"/>
              <w:bottom w:val="nil"/>
              <w:right w:val="nil"/>
              <w:between w:val="nil"/>
            </w:pBdr>
            <w:tabs>
              <w:tab w:val="center" w:pos="4706"/>
              <w:tab w:val="right" w:pos="9356"/>
            </w:tabs>
            <w:spacing w:line="240" w:lineRule="auto"/>
            <w:rPr>
              <w:rFonts w:eastAsia="Times New Roman"/>
              <w:color w:val="000000"/>
              <w:sz w:val="22"/>
              <w:szCs w:val="22"/>
            </w:rPr>
          </w:pPr>
          <w:r>
            <w:rPr>
              <w:rFonts w:eastAsia="Times New Roman"/>
              <w:color w:val="000000"/>
              <w:sz w:val="22"/>
              <w:szCs w:val="22"/>
            </w:rPr>
            <w:t>DOI</w:t>
          </w:r>
          <w:r w:rsidR="00FD4F17">
            <w:rPr>
              <w:rFonts w:eastAsia="Times New Roman"/>
              <w:color w:val="000000"/>
              <w:sz w:val="22"/>
              <w:szCs w:val="22"/>
            </w:rPr>
            <w:t>:</w:t>
          </w:r>
          <w:r>
            <w:rPr>
              <w:rFonts w:eastAsia="Times New Roman"/>
              <w:color w:val="000000"/>
              <w:sz w:val="22"/>
              <w:szCs w:val="22"/>
            </w:rPr>
            <w:t xml:space="preserve"> </w:t>
          </w:r>
        </w:p>
      </w:tc>
      <w:tc>
        <w:tcPr>
          <w:tcW w:w="2419" w:type="dxa"/>
        </w:tcPr>
        <w:p w14:paraId="1AC8021C" w14:textId="00978364" w:rsidR="002343A9" w:rsidRDefault="00FD4F17">
          <w:pPr>
            <w:widowControl/>
            <w:pBdr>
              <w:top w:val="nil"/>
              <w:left w:val="nil"/>
              <w:bottom w:val="nil"/>
              <w:right w:val="nil"/>
              <w:between w:val="nil"/>
            </w:pBdr>
            <w:tabs>
              <w:tab w:val="center" w:pos="4706"/>
              <w:tab w:val="right" w:pos="9356"/>
            </w:tabs>
            <w:spacing w:line="240" w:lineRule="auto"/>
            <w:rPr>
              <w:rFonts w:eastAsia="Times New Roman"/>
              <w:i/>
              <w:color w:val="000000"/>
              <w:sz w:val="22"/>
              <w:szCs w:val="22"/>
            </w:rPr>
          </w:pPr>
          <w:r>
            <w:fldChar w:fldCharType="begin"/>
          </w:r>
          <w:r>
            <w:instrText xml:space="preserve"> INCLUDEPICTURE "https://aicscientificpress.com/public/site/images/admin-journal/thumbnail-ojs-74-1-7a38d082fa0e62a965f98d46668d7a86.png" \* MERGEFORMATINET </w:instrText>
          </w:r>
          <w:r>
            <w:fldChar w:fldCharType="separate"/>
          </w:r>
          <w:r>
            <w:fldChar w:fldCharType="end"/>
          </w:r>
          <w:r>
            <w:t xml:space="preserve"> </w:t>
          </w:r>
          <w:r w:rsidR="0023460C">
            <w:fldChar w:fldCharType="begin"/>
          </w:r>
          <w:r w:rsidR="0023460C">
            <w:instrText xml:space="preserve"> INCLUDEPICTURE "https://journalofcorescience.com/public/site/images/admin-journal/convergia-1-1.png" \* MERGEFORMATINET </w:instrText>
          </w:r>
          <w:r w:rsidR="0023460C">
            <w:fldChar w:fldCharType="separate"/>
          </w:r>
          <w:r w:rsidR="0023460C">
            <w:fldChar w:fldCharType="end"/>
          </w:r>
        </w:p>
      </w:tc>
    </w:tr>
  </w:tbl>
  <w:p w14:paraId="24036FDD" w14:textId="5F59A1C3" w:rsidR="002343A9" w:rsidRDefault="002343A9">
    <w:pPr>
      <w:widowControl/>
      <w:pBdr>
        <w:top w:val="nil"/>
        <w:left w:val="nil"/>
        <w:bottom w:val="nil"/>
        <w:right w:val="nil"/>
        <w:between w:val="nil"/>
      </w:pBdr>
      <w:tabs>
        <w:tab w:val="center" w:pos="4706"/>
        <w:tab w:val="right" w:pos="9356"/>
      </w:tabs>
      <w:spacing w:after="80" w:line="230" w:lineRule="auto"/>
      <w:rPr>
        <w:rFonts w:eastAsia="Times New Roman"/>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A71F23"/>
    <w:multiLevelType w:val="multilevel"/>
    <w:tmpl w:val="5C1E4B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DFA1526"/>
    <w:multiLevelType w:val="multilevel"/>
    <w:tmpl w:val="EDB60EB8"/>
    <w:lvl w:ilvl="0">
      <w:start w:val="1"/>
      <w:numFmt w:val="decimal"/>
      <w:pStyle w:val="Alishlah21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BD81B99"/>
    <w:multiLevelType w:val="multilevel"/>
    <w:tmpl w:val="C6449C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25823015">
    <w:abstractNumId w:val="0"/>
  </w:num>
  <w:num w:numId="2" w16cid:durableId="687876196">
    <w:abstractNumId w:val="2"/>
  </w:num>
  <w:num w:numId="3" w16cid:durableId="20705719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3A9"/>
    <w:rsid w:val="000171D3"/>
    <w:rsid w:val="0003183A"/>
    <w:rsid w:val="00076C2A"/>
    <w:rsid w:val="0008442B"/>
    <w:rsid w:val="001330BA"/>
    <w:rsid w:val="001413A2"/>
    <w:rsid w:val="001F4B8E"/>
    <w:rsid w:val="00206F70"/>
    <w:rsid w:val="00207366"/>
    <w:rsid w:val="002343A9"/>
    <w:rsid w:val="0023460C"/>
    <w:rsid w:val="002865C5"/>
    <w:rsid w:val="00286C4A"/>
    <w:rsid w:val="002B2BD0"/>
    <w:rsid w:val="00304FF4"/>
    <w:rsid w:val="0036147A"/>
    <w:rsid w:val="003953CD"/>
    <w:rsid w:val="003A5755"/>
    <w:rsid w:val="003C54F7"/>
    <w:rsid w:val="003E0FD7"/>
    <w:rsid w:val="003E7C8F"/>
    <w:rsid w:val="00472D67"/>
    <w:rsid w:val="004A12DC"/>
    <w:rsid w:val="00507063"/>
    <w:rsid w:val="00534F4C"/>
    <w:rsid w:val="005636A0"/>
    <w:rsid w:val="005C4F34"/>
    <w:rsid w:val="005D1A21"/>
    <w:rsid w:val="005D7A19"/>
    <w:rsid w:val="00621574"/>
    <w:rsid w:val="00625342"/>
    <w:rsid w:val="0065281D"/>
    <w:rsid w:val="006578BD"/>
    <w:rsid w:val="006D0722"/>
    <w:rsid w:val="006E7B3C"/>
    <w:rsid w:val="00730802"/>
    <w:rsid w:val="00754371"/>
    <w:rsid w:val="00767E5D"/>
    <w:rsid w:val="00780625"/>
    <w:rsid w:val="007A4FEC"/>
    <w:rsid w:val="007B721F"/>
    <w:rsid w:val="007C3232"/>
    <w:rsid w:val="007D483F"/>
    <w:rsid w:val="007E36E6"/>
    <w:rsid w:val="007E5FF9"/>
    <w:rsid w:val="007E6405"/>
    <w:rsid w:val="008064E2"/>
    <w:rsid w:val="00947CE8"/>
    <w:rsid w:val="009776BF"/>
    <w:rsid w:val="00A331AF"/>
    <w:rsid w:val="00AA7DE5"/>
    <w:rsid w:val="00AB1572"/>
    <w:rsid w:val="00AF1A93"/>
    <w:rsid w:val="00AF29D4"/>
    <w:rsid w:val="00B230FA"/>
    <w:rsid w:val="00B9285F"/>
    <w:rsid w:val="00BB1486"/>
    <w:rsid w:val="00BD1D5E"/>
    <w:rsid w:val="00C03B44"/>
    <w:rsid w:val="00C13E95"/>
    <w:rsid w:val="00C20E94"/>
    <w:rsid w:val="00C262C6"/>
    <w:rsid w:val="00C50BAF"/>
    <w:rsid w:val="00CA369E"/>
    <w:rsid w:val="00CA47FB"/>
    <w:rsid w:val="00D80AB7"/>
    <w:rsid w:val="00D95886"/>
    <w:rsid w:val="00D977DE"/>
    <w:rsid w:val="00DB4122"/>
    <w:rsid w:val="00E203F5"/>
    <w:rsid w:val="00E35550"/>
    <w:rsid w:val="00E65921"/>
    <w:rsid w:val="00E66E28"/>
    <w:rsid w:val="00E820CF"/>
    <w:rsid w:val="00EC459D"/>
    <w:rsid w:val="00EC5E53"/>
    <w:rsid w:val="00EF630F"/>
    <w:rsid w:val="00F041E5"/>
    <w:rsid w:val="00F46647"/>
    <w:rsid w:val="00F9339D"/>
    <w:rsid w:val="00FA2CBE"/>
    <w:rsid w:val="00FD15A2"/>
    <w:rsid w:val="00FD4F1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80868"/>
  <w15:docId w15:val="{D313CCE2-1B03-C841-B183-A37D9923F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16"/>
        <w:szCs w:val="16"/>
        <w:lang w:val="en-GB" w:eastAsia="id-ID" w:bidi="ar-SA"/>
      </w:rPr>
    </w:rPrDefault>
    <w:pPrDefault>
      <w:pPr>
        <w:widowControl w:val="0"/>
        <w:spacing w:line="23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E97"/>
    <w:pPr>
      <w:spacing w:line="230" w:lineRule="exact"/>
    </w:pPr>
    <w:rPr>
      <w:rFonts w:eastAsia="SimSun"/>
      <w:szCs w:val="2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customStyle="1" w:styleId="Els-Title">
    <w:name w:val="Els-Title"/>
    <w:next w:val="Normal"/>
    <w:autoRedefine/>
    <w:rsid w:val="00302E97"/>
    <w:pPr>
      <w:suppressAutoHyphens/>
      <w:spacing w:line="240" w:lineRule="auto"/>
      <w:jc w:val="center"/>
    </w:pPr>
    <w:rPr>
      <w:rFonts w:ascii="Book Antiqua" w:eastAsia="SimSun" w:hAnsi="Book Antiqua"/>
      <w:b/>
      <w:sz w:val="30"/>
      <w:szCs w:val="18"/>
      <w:lang w:val="en-US"/>
    </w:rPr>
  </w:style>
  <w:style w:type="paragraph" w:styleId="Header">
    <w:name w:val="header"/>
    <w:aliases w:val="page-number"/>
    <w:basedOn w:val="Normal"/>
    <w:link w:val="HeaderChar"/>
    <w:uiPriority w:val="99"/>
    <w:rsid w:val="00302E97"/>
    <w:pPr>
      <w:widowControl/>
      <w:tabs>
        <w:tab w:val="center" w:pos="4706"/>
        <w:tab w:val="right" w:pos="9356"/>
      </w:tabs>
      <w:spacing w:after="80" w:line="200" w:lineRule="atLeast"/>
    </w:pPr>
    <w:rPr>
      <w:noProof/>
      <w:sz w:val="14"/>
      <w:lang w:val="en-US"/>
    </w:rPr>
  </w:style>
  <w:style w:type="character" w:customStyle="1" w:styleId="HeaderChar">
    <w:name w:val="Header Char"/>
    <w:aliases w:val="page-number Char"/>
    <w:basedOn w:val="DefaultParagraphFont"/>
    <w:link w:val="Header"/>
    <w:uiPriority w:val="99"/>
    <w:rsid w:val="00302E97"/>
    <w:rPr>
      <w:rFonts w:ascii="Times New Roman" w:eastAsia="SimSun" w:hAnsi="Times New Roman" w:cs="Times New Roman"/>
      <w:noProof/>
      <w:sz w:val="14"/>
      <w:szCs w:val="20"/>
      <w:lang w:val="en-US"/>
    </w:rPr>
  </w:style>
  <w:style w:type="paragraph" w:styleId="Footer">
    <w:name w:val="footer"/>
    <w:basedOn w:val="Header"/>
    <w:link w:val="FooterChar"/>
    <w:rsid w:val="00302E97"/>
    <w:pPr>
      <w:tabs>
        <w:tab w:val="right" w:pos="10080"/>
      </w:tabs>
      <w:spacing w:before="240" w:after="0" w:line="200" w:lineRule="exact"/>
    </w:pPr>
    <w:rPr>
      <w:i/>
    </w:rPr>
  </w:style>
  <w:style w:type="character" w:customStyle="1" w:styleId="FooterChar">
    <w:name w:val="Footer Char"/>
    <w:basedOn w:val="DefaultParagraphFont"/>
    <w:link w:val="Footer"/>
    <w:rsid w:val="00302E97"/>
    <w:rPr>
      <w:rFonts w:ascii="Times New Roman" w:eastAsia="SimSun" w:hAnsi="Times New Roman" w:cs="Times New Roman"/>
      <w:i/>
      <w:noProof/>
      <w:sz w:val="14"/>
      <w:szCs w:val="20"/>
      <w:lang w:val="en-US"/>
    </w:rPr>
  </w:style>
  <w:style w:type="character" w:styleId="Hyperlink">
    <w:name w:val="Hyperlink"/>
    <w:uiPriority w:val="99"/>
    <w:rsid w:val="00302E97"/>
    <w:rPr>
      <w:rFonts w:cs="Times New Roman"/>
      <w:color w:val="auto"/>
      <w:sz w:val="16"/>
      <w:u w:val="none"/>
    </w:rPr>
  </w:style>
  <w:style w:type="table" w:styleId="TableGrid">
    <w:name w:val="Table Grid"/>
    <w:basedOn w:val="TableNormal"/>
    <w:uiPriority w:val="39"/>
    <w:rsid w:val="00302E97"/>
    <w:pPr>
      <w:spacing w:line="240" w:lineRule="auto"/>
    </w:pPr>
    <w:rPr>
      <w:rFonts w:eastAsia="SimSun"/>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ody of text"/>
    <w:basedOn w:val="Normal"/>
    <w:link w:val="ListParagraphChar"/>
    <w:uiPriority w:val="34"/>
    <w:qFormat/>
    <w:rsid w:val="00302E97"/>
    <w:pPr>
      <w:widowControl/>
      <w:spacing w:line="240" w:lineRule="auto"/>
      <w:ind w:left="720"/>
      <w:contextualSpacing/>
    </w:pPr>
    <w:rPr>
      <w:rFonts w:eastAsia="Times New Roman" w:cs="Arial"/>
      <w:sz w:val="24"/>
      <w:szCs w:val="22"/>
      <w:lang w:val="en-US"/>
    </w:rPr>
  </w:style>
  <w:style w:type="character" w:customStyle="1" w:styleId="ListParagraphChar">
    <w:name w:val="List Paragraph Char"/>
    <w:aliases w:val="Body of text Char"/>
    <w:link w:val="ListParagraph"/>
    <w:uiPriority w:val="34"/>
    <w:qFormat/>
    <w:locked/>
    <w:rsid w:val="00302E97"/>
    <w:rPr>
      <w:rFonts w:ascii="Times New Roman" w:eastAsia="Times New Roman" w:hAnsi="Times New Roman" w:cs="Arial"/>
      <w:sz w:val="24"/>
      <w:lang w:val="en-US"/>
    </w:rPr>
  </w:style>
  <w:style w:type="character" w:customStyle="1" w:styleId="tlid-translation">
    <w:name w:val="tlid-translation"/>
    <w:basedOn w:val="DefaultParagraphFont"/>
    <w:rsid w:val="00302E97"/>
  </w:style>
  <w:style w:type="paragraph" w:styleId="BalloonText">
    <w:name w:val="Balloon Text"/>
    <w:basedOn w:val="Normal"/>
    <w:link w:val="BalloonTextChar"/>
    <w:uiPriority w:val="99"/>
    <w:semiHidden/>
    <w:unhideWhenUsed/>
    <w:rsid w:val="00302E97"/>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302E97"/>
    <w:rPr>
      <w:rFonts w:ascii="Tahoma" w:eastAsia="SimSun" w:hAnsi="Tahoma" w:cs="Tahoma"/>
      <w:sz w:val="16"/>
      <w:szCs w:val="16"/>
      <w:lang w:val="en-GB"/>
    </w:rPr>
  </w:style>
  <w:style w:type="paragraph" w:customStyle="1" w:styleId="MDPI42tablebody">
    <w:name w:val="MDPI_4.2_table_body"/>
    <w:qFormat/>
    <w:rsid w:val="00302E97"/>
    <w:pPr>
      <w:adjustRightInd w:val="0"/>
      <w:snapToGrid w:val="0"/>
      <w:spacing w:line="260" w:lineRule="atLeast"/>
      <w:jc w:val="center"/>
    </w:pPr>
    <w:rPr>
      <w:rFonts w:ascii="Palatino Linotype" w:hAnsi="Palatino Linotype"/>
      <w:snapToGrid w:val="0"/>
      <w:color w:val="000000"/>
      <w:sz w:val="20"/>
      <w:szCs w:val="20"/>
      <w:lang w:val="en-US" w:eastAsia="de-DE" w:bidi="en-US"/>
    </w:rPr>
  </w:style>
  <w:style w:type="paragraph" w:styleId="BodyText">
    <w:name w:val="Body Text"/>
    <w:basedOn w:val="Normal"/>
    <w:link w:val="BodyTextChar"/>
    <w:uiPriority w:val="99"/>
    <w:unhideWhenUsed/>
    <w:rsid w:val="00302E97"/>
    <w:pPr>
      <w:widowControl/>
      <w:spacing w:after="120" w:line="276" w:lineRule="auto"/>
    </w:pPr>
    <w:rPr>
      <w:rFonts w:ascii="Calibri" w:eastAsia="Calibri" w:hAnsi="Calibri" w:cs="Arial"/>
      <w:sz w:val="22"/>
      <w:szCs w:val="22"/>
      <w:lang w:val="id-ID"/>
    </w:rPr>
  </w:style>
  <w:style w:type="character" w:customStyle="1" w:styleId="BodyTextChar">
    <w:name w:val="Body Text Char"/>
    <w:basedOn w:val="DefaultParagraphFont"/>
    <w:link w:val="BodyText"/>
    <w:uiPriority w:val="99"/>
    <w:rsid w:val="00302E97"/>
    <w:rPr>
      <w:rFonts w:ascii="Calibri" w:eastAsia="Calibri" w:hAnsi="Calibri" w:cs="Arial"/>
      <w:lang w:val="id-ID"/>
    </w:rPr>
  </w:style>
  <w:style w:type="paragraph" w:styleId="FootnoteText">
    <w:name w:val="footnote text"/>
    <w:basedOn w:val="Normal"/>
    <w:link w:val="FootnoteTextChar"/>
    <w:uiPriority w:val="99"/>
    <w:semiHidden/>
    <w:unhideWhenUsed/>
    <w:rsid w:val="00302E97"/>
    <w:pPr>
      <w:spacing w:line="240" w:lineRule="auto"/>
    </w:pPr>
    <w:rPr>
      <w:sz w:val="20"/>
    </w:rPr>
  </w:style>
  <w:style w:type="character" w:customStyle="1" w:styleId="FootnoteTextChar">
    <w:name w:val="Footnote Text Char"/>
    <w:basedOn w:val="DefaultParagraphFont"/>
    <w:link w:val="FootnoteText"/>
    <w:uiPriority w:val="99"/>
    <w:semiHidden/>
    <w:rsid w:val="00302E97"/>
    <w:rPr>
      <w:rFonts w:ascii="Times New Roman" w:eastAsia="SimSun" w:hAnsi="Times New Roman" w:cs="Times New Roman"/>
      <w:sz w:val="20"/>
      <w:szCs w:val="20"/>
      <w:lang w:val="en-GB"/>
    </w:rPr>
  </w:style>
  <w:style w:type="character" w:styleId="FootnoteReference">
    <w:name w:val="footnote reference"/>
    <w:uiPriority w:val="99"/>
    <w:unhideWhenUsed/>
    <w:qFormat/>
    <w:rsid w:val="00302E97"/>
    <w:rPr>
      <w:vertAlign w:val="superscript"/>
    </w:rPr>
  </w:style>
  <w:style w:type="character" w:styleId="Strong">
    <w:name w:val="Strong"/>
    <w:uiPriority w:val="22"/>
    <w:qFormat/>
    <w:rsid w:val="00302E97"/>
    <w:rPr>
      <w:b/>
      <w:bCs/>
    </w:rPr>
  </w:style>
  <w:style w:type="character" w:customStyle="1" w:styleId="viiyi">
    <w:name w:val="viiyi"/>
    <w:basedOn w:val="DefaultParagraphFont"/>
    <w:rsid w:val="00302E97"/>
  </w:style>
  <w:style w:type="character" w:customStyle="1" w:styleId="q4iawc">
    <w:name w:val="q4iawc"/>
    <w:basedOn w:val="DefaultParagraphFont"/>
    <w:rsid w:val="00302E97"/>
  </w:style>
  <w:style w:type="character" w:styleId="Emphasis">
    <w:name w:val="Emphasis"/>
    <w:uiPriority w:val="20"/>
    <w:qFormat/>
    <w:rsid w:val="00302E97"/>
    <w:rPr>
      <w:i/>
      <w:iCs/>
    </w:rPr>
  </w:style>
  <w:style w:type="character" w:styleId="CommentReference">
    <w:name w:val="annotation reference"/>
    <w:uiPriority w:val="99"/>
    <w:semiHidden/>
    <w:unhideWhenUsed/>
    <w:rsid w:val="00302E97"/>
    <w:rPr>
      <w:sz w:val="16"/>
      <w:szCs w:val="16"/>
    </w:rPr>
  </w:style>
  <w:style w:type="paragraph" w:styleId="CommentText">
    <w:name w:val="annotation text"/>
    <w:basedOn w:val="Normal"/>
    <w:link w:val="CommentTextChar"/>
    <w:uiPriority w:val="99"/>
    <w:semiHidden/>
    <w:unhideWhenUsed/>
    <w:rsid w:val="00302E97"/>
    <w:rPr>
      <w:sz w:val="20"/>
    </w:rPr>
  </w:style>
  <w:style w:type="character" w:customStyle="1" w:styleId="CommentTextChar">
    <w:name w:val="Comment Text Char"/>
    <w:basedOn w:val="DefaultParagraphFont"/>
    <w:link w:val="CommentText"/>
    <w:uiPriority w:val="99"/>
    <w:semiHidden/>
    <w:rsid w:val="00302E97"/>
    <w:rPr>
      <w:rFonts w:ascii="Times New Roman" w:eastAsia="SimSu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302E97"/>
    <w:rPr>
      <w:b/>
      <w:bCs/>
    </w:rPr>
  </w:style>
  <w:style w:type="character" w:customStyle="1" w:styleId="CommentSubjectChar">
    <w:name w:val="Comment Subject Char"/>
    <w:basedOn w:val="CommentTextChar"/>
    <w:link w:val="CommentSubject"/>
    <w:uiPriority w:val="99"/>
    <w:semiHidden/>
    <w:rsid w:val="00302E97"/>
    <w:rPr>
      <w:rFonts w:ascii="Times New Roman" w:eastAsia="SimSun" w:hAnsi="Times New Roman" w:cs="Times New Roman"/>
      <w:b/>
      <w:bCs/>
      <w:sz w:val="20"/>
      <w:szCs w:val="20"/>
      <w:lang w:val="en-GB"/>
    </w:rPr>
  </w:style>
  <w:style w:type="paragraph" w:styleId="Revision">
    <w:name w:val="Revision"/>
    <w:hidden/>
    <w:uiPriority w:val="99"/>
    <w:semiHidden/>
    <w:rsid w:val="00302E97"/>
    <w:pPr>
      <w:spacing w:line="240" w:lineRule="auto"/>
    </w:pPr>
    <w:rPr>
      <w:rFonts w:eastAsia="SimSun"/>
      <w:szCs w:val="20"/>
    </w:rPr>
  </w:style>
  <w:style w:type="paragraph" w:customStyle="1" w:styleId="Abstract">
    <w:name w:val="Abstract"/>
    <w:basedOn w:val="Normal"/>
    <w:next w:val="Normal"/>
    <w:qFormat/>
    <w:rsid w:val="00734255"/>
    <w:pPr>
      <w:widowControl/>
      <w:spacing w:before="360" w:after="300" w:line="360" w:lineRule="auto"/>
      <w:ind w:left="720" w:right="567"/>
      <w:contextualSpacing/>
    </w:pPr>
    <w:rPr>
      <w:rFonts w:eastAsia="Times New Roman"/>
      <w:sz w:val="22"/>
      <w:szCs w:val="24"/>
      <w:lang w:eastAsia="en-GB"/>
    </w:rPr>
  </w:style>
  <w:style w:type="character" w:styleId="UnresolvedMention">
    <w:name w:val="Unresolved Mention"/>
    <w:basedOn w:val="DefaultParagraphFont"/>
    <w:uiPriority w:val="99"/>
    <w:semiHidden/>
    <w:unhideWhenUsed/>
    <w:rsid w:val="004D4595"/>
    <w:rPr>
      <w:color w:val="605E5C"/>
      <w:shd w:val="clear" w:color="auto" w:fill="E1DFDD"/>
    </w:rPr>
  </w:style>
  <w:style w:type="character" w:customStyle="1" w:styleId="REFChar">
    <w:name w:val="REF Char"/>
    <w:basedOn w:val="DefaultParagraphFont"/>
    <w:link w:val="REF"/>
    <w:locked/>
    <w:rsid w:val="0087610A"/>
    <w:rPr>
      <w:rFonts w:ascii="Constantia" w:eastAsia="Times New Roman" w:hAnsi="Constantia"/>
      <w:sz w:val="24"/>
      <w:szCs w:val="24"/>
    </w:rPr>
  </w:style>
  <w:style w:type="paragraph" w:customStyle="1" w:styleId="REF">
    <w:name w:val="REF"/>
    <w:basedOn w:val="Normal"/>
    <w:link w:val="REFChar"/>
    <w:qFormat/>
    <w:rsid w:val="0087610A"/>
    <w:pPr>
      <w:widowControl/>
      <w:spacing w:line="240" w:lineRule="auto"/>
    </w:pPr>
    <w:rPr>
      <w:rFonts w:ascii="Constantia" w:eastAsia="Times New Roman" w:hAnsi="Constantia" w:cstheme="minorBidi"/>
      <w:sz w:val="24"/>
      <w:szCs w:val="24"/>
      <w:lang w:val="en-ID"/>
    </w:rPr>
  </w:style>
  <w:style w:type="paragraph" w:customStyle="1" w:styleId="MDPI41tablecaption">
    <w:name w:val="MDPI_4.1_table_caption"/>
    <w:basedOn w:val="Normal"/>
    <w:qFormat/>
    <w:rsid w:val="0087610A"/>
    <w:pPr>
      <w:widowControl/>
      <w:adjustRightInd w:val="0"/>
      <w:snapToGrid w:val="0"/>
      <w:spacing w:before="240" w:after="120" w:line="260" w:lineRule="atLeast"/>
      <w:ind w:left="425" w:right="425"/>
      <w:jc w:val="both"/>
    </w:pPr>
    <w:rPr>
      <w:rFonts w:ascii="Palatino Linotype" w:eastAsia="Times New Roman" w:hAnsi="Palatino Linotype"/>
      <w:color w:val="000000"/>
      <w:sz w:val="18"/>
      <w:szCs w:val="22"/>
      <w:lang w:val="en-US" w:eastAsia="de-DE" w:bidi="en-US"/>
    </w:rPr>
  </w:style>
  <w:style w:type="paragraph" w:customStyle="1" w:styleId="MDPI51figurecaption">
    <w:name w:val="MDPI_5.1_figure_caption"/>
    <w:basedOn w:val="Normal"/>
    <w:qFormat/>
    <w:rsid w:val="0087610A"/>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87610A"/>
    <w:pPr>
      <w:snapToGrid w:val="0"/>
      <w:spacing w:line="240" w:lineRule="auto"/>
      <w:jc w:val="center"/>
    </w:pPr>
    <w:rPr>
      <w:rFonts w:ascii="Palatino Linotype" w:hAnsi="Palatino Linotype"/>
      <w:color w:val="000000"/>
      <w:sz w:val="24"/>
      <w:szCs w:val="20"/>
      <w:lang w:val="en-US" w:eastAsia="de-DE" w:bidi="en-US"/>
    </w:rPr>
  </w:style>
  <w:style w:type="table" w:styleId="PlainTable2">
    <w:name w:val="Plain Table 2"/>
    <w:basedOn w:val="TableNormal"/>
    <w:uiPriority w:val="42"/>
    <w:rsid w:val="00A2783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
    <w:name w:val="Table Grid2"/>
    <w:basedOn w:val="TableNormal"/>
    <w:uiPriority w:val="59"/>
    <w:rsid w:val="00A27839"/>
    <w:pPr>
      <w:spacing w:line="240" w:lineRule="auto"/>
    </w:pPr>
    <w:rPr>
      <w:rFonts w:ascii="Calibri" w:eastAsia="MS Mincho" w:hAnsi="Calibri"/>
      <w:sz w:val="20"/>
      <w:szCs w:val="20"/>
      <w:lang w:val="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shlah16affiliation">
    <w:name w:val="Alishlah_1.6_affiliation"/>
    <w:basedOn w:val="Normal"/>
    <w:qFormat/>
    <w:rsid w:val="00BD11D7"/>
    <w:pPr>
      <w:widowControl/>
      <w:adjustRightInd w:val="0"/>
      <w:snapToGrid w:val="0"/>
      <w:spacing w:line="200" w:lineRule="atLeast"/>
      <w:ind w:left="311" w:hanging="198"/>
    </w:pPr>
    <w:rPr>
      <w:rFonts w:ascii="Palatino Linotype" w:eastAsia="Times New Roman" w:hAnsi="Palatino Linotype"/>
      <w:color w:val="000000"/>
      <w:sz w:val="18"/>
      <w:szCs w:val="18"/>
      <w:lang w:val="en-US" w:eastAsia="de-DE" w:bidi="en-US"/>
    </w:rPr>
  </w:style>
  <w:style w:type="table" w:styleId="TableGridLight">
    <w:name w:val="Grid Table Light"/>
    <w:basedOn w:val="TableNormal"/>
    <w:uiPriority w:val="40"/>
    <w:rsid w:val="00BD11D7"/>
    <w:pPr>
      <w:spacing w:line="240" w:lineRule="auto"/>
    </w:pPr>
    <w:rPr>
      <w:rFonts w:ascii="Calibri" w:eastAsia="SimSun" w:hAnsi="Calibri" w:cs="Arial"/>
      <w:sz w:val="20"/>
      <w:szCs w:val="20"/>
      <w:lang w:eastAsia="en-ID"/>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lishlah31text">
    <w:name w:val="Alishlah_3.1_text"/>
    <w:qFormat/>
    <w:rsid w:val="006D38E2"/>
    <w:pPr>
      <w:adjustRightInd w:val="0"/>
      <w:snapToGrid w:val="0"/>
      <w:spacing w:line="260" w:lineRule="atLeast"/>
      <w:ind w:firstLine="425"/>
      <w:jc w:val="both"/>
    </w:pPr>
    <w:rPr>
      <w:rFonts w:ascii="Palatino Linotype" w:hAnsi="Palatino Linotype"/>
      <w:snapToGrid w:val="0"/>
      <w:color w:val="000000"/>
      <w:sz w:val="20"/>
      <w:lang w:val="en-US" w:eastAsia="de-DE" w:bidi="en-US"/>
    </w:rPr>
  </w:style>
  <w:style w:type="paragraph" w:customStyle="1" w:styleId="Alishlah21heading1">
    <w:name w:val="Alishlah_2.1_heading1"/>
    <w:basedOn w:val="Normal"/>
    <w:qFormat/>
    <w:rsid w:val="00666B9E"/>
    <w:pPr>
      <w:widowControl/>
      <w:numPr>
        <w:numId w:val="3"/>
      </w:numPr>
      <w:adjustRightInd w:val="0"/>
      <w:snapToGrid w:val="0"/>
      <w:spacing w:before="240" w:after="120" w:line="260" w:lineRule="atLeast"/>
      <w:outlineLvl w:val="0"/>
    </w:pPr>
    <w:rPr>
      <w:rFonts w:ascii="Palatino Linotype" w:eastAsia="Times New Roman" w:hAnsi="Palatino Linotype"/>
      <w:b/>
      <w:snapToGrid w:val="0"/>
      <w:color w:val="000000"/>
      <w:sz w:val="20"/>
      <w:szCs w:val="22"/>
      <w:lang w:val="en-US" w:eastAsia="zh-CN" w:bidi="en-US"/>
    </w:rPr>
  </w:style>
  <w:style w:type="paragraph" w:customStyle="1" w:styleId="Alishlah13authornames">
    <w:name w:val="Alishlah_1.3_authornames"/>
    <w:basedOn w:val="Normal"/>
    <w:next w:val="Normal"/>
    <w:qFormat/>
    <w:rsid w:val="0068388D"/>
    <w:pPr>
      <w:widowControl/>
      <w:adjustRightInd w:val="0"/>
      <w:snapToGrid w:val="0"/>
      <w:spacing w:after="120" w:line="260" w:lineRule="atLeast"/>
    </w:pPr>
    <w:rPr>
      <w:rFonts w:ascii="Palatino Linotype" w:eastAsia="Times New Roman" w:hAnsi="Palatino Linotype"/>
      <w:b/>
      <w:color w:val="000000"/>
      <w:sz w:val="20"/>
      <w:szCs w:val="22"/>
      <w:lang w:val="en-US" w:eastAsia="de-DE" w:bidi="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pPr>
      <w:spacing w:line="240" w:lineRule="auto"/>
    </w:pPr>
    <w:rPr>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2196/51432" TargetMode="External"/><Relationship Id="rId18" Type="http://schemas.openxmlformats.org/officeDocument/2006/relationships/hyperlink" Target="https://doi.org/10.1016/j.compbiomed.2021.104365"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i.org/10.1186/s13643-020-01542-z" TargetMode="External"/><Relationship Id="rId7" Type="http://schemas.openxmlformats.org/officeDocument/2006/relationships/endnotes" Target="endnotes.xml"/><Relationship Id="rId12" Type="http://schemas.openxmlformats.org/officeDocument/2006/relationships/hyperlink" Target="https://doi.org/10.1038/s41591-024-02951-6" TargetMode="External"/><Relationship Id="rId17" Type="http://schemas.openxmlformats.org/officeDocument/2006/relationships/hyperlink" Target="https://synthesismanual.jbi.global/" TargetMode="External"/><Relationship Id="rId25" Type="http://schemas.openxmlformats.org/officeDocument/2006/relationships/hyperlink" Target="https://doi.org/10.2196/54557"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38/s41430-023-01350-3" TargetMode="External"/><Relationship Id="rId20" Type="http://schemas.openxmlformats.org/officeDocument/2006/relationships/hyperlink" Target="https://doi.org/10.1136/bmj.n71"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ncp.11150" TargetMode="External"/><Relationship Id="rId24" Type="http://schemas.openxmlformats.org/officeDocument/2006/relationships/hyperlink" Target="https://doi.org/10.1016/j.advnut.2025.100398"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16/j.nutos.2023.07.001" TargetMode="External"/><Relationship Id="rId23" Type="http://schemas.openxmlformats.org/officeDocument/2006/relationships/hyperlink" Target="https://doi.org/10.3390/healthcare13121417" TargetMode="External"/><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doi.org/10.1097/JS9.0000000000002260"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1017/S0007114525000522" TargetMode="External"/><Relationship Id="rId22" Type="http://schemas.openxmlformats.org/officeDocument/2006/relationships/hyperlink" Target="https://doi.org/10.3390/nu16132066"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mailto:anggunaluna2@gmail.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0ajIdsj1Zcz73mp3j2jLeSiypQ==">CgMxLjAyCGguZ2pkZ3hzOAByITFtRjlqdl9rUlpwV2JLcUN2TnBUOTYtTnlSQnp0WlhvNA==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Pages>
  <Words>4437</Words>
  <Characters>25292</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keywords>, docId:F2FF749850C4E46A3D7E5CB5ADFD9844</cp:keywords>
  <cp:lastModifiedBy>hp</cp:lastModifiedBy>
  <cp:revision>51</cp:revision>
  <dcterms:created xsi:type="dcterms:W3CDTF">2026-06-04T01:57:00Z</dcterms:created>
  <dcterms:modified xsi:type="dcterms:W3CDTF">2026-07-23T10:37:00Z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7fa36eae-0f5c-478c-8e08-cb7b6036a1e9</vt:lpwstr>
  </property>
  <property fmtid="{D5CDD505-2E9C-101B-9397-08002B2CF9AE}" pid="3" name="Mendeley Document_1">
    <vt:lpwstr>True</vt:lpwstr>
  </property>
  <property fmtid="{D5CDD505-2E9C-101B-9397-08002B2CF9AE}" pid="4" name="Mendeley Citation Style_1">
    <vt:lpwstr>http://www.zotero.org/styles/apa</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http://www.zotero.org/styles/chicago-note-bibliography</vt:lpwstr>
  </property>
  <property fmtid="{D5CDD505-2E9C-101B-9397-08002B2CF9AE}" pid="14" name="Mendeley Recent Style Name 4_1">
    <vt:lpwstr>Chicago Manual of Style 17th edition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